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CE1F" w14:textId="59D482A5" w:rsidR="00DE6E44" w:rsidRDefault="00DE6E44" w:rsidP="00CA2A6E">
      <w:pPr>
        <w:pStyle w:val="Heading1"/>
      </w:pPr>
      <w:r>
        <w:t>Section 2</w:t>
      </w:r>
    </w:p>
    <w:p w14:paraId="48A4D652" w14:textId="19B54DD4" w:rsidR="00DE6E44" w:rsidRDefault="00DE6E44" w:rsidP="00DE6E44">
      <w:pPr>
        <w:pStyle w:val="Subtitle"/>
      </w:pPr>
      <w:r>
        <w:t>Required files: kernel.py</w:t>
      </w:r>
    </w:p>
    <w:p w14:paraId="5B7776A9" w14:textId="52243A22" w:rsidR="00650A8A" w:rsidRPr="00650A8A" w:rsidRDefault="00650A8A" w:rsidP="00650A8A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F348529" w14:textId="1624C674" w:rsidR="00650A8A" w:rsidRDefault="00650A8A" w:rsidP="00650A8A">
      <w:pPr>
        <w:pStyle w:val="ListParagraph"/>
        <w:numPr>
          <w:ilvl w:val="0"/>
          <w:numId w:val="1"/>
        </w:numPr>
      </w:pPr>
      <w:r>
        <w:t>Linear Kernel</w:t>
      </w:r>
    </w:p>
    <w:p w14:paraId="1BDE19F3" w14:textId="1DD56F7C" w:rsidR="00650A8A" w:rsidRPr="00650A8A" w:rsidRDefault="00000000" w:rsidP="00650A8A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5B13264" w14:textId="77777777" w:rsidR="007A4443" w:rsidRPr="007A4443" w:rsidRDefault="007A4443" w:rsidP="007A4443">
      <w:pPr>
        <w:pStyle w:val="ListParagraph"/>
        <w:numPr>
          <w:ilvl w:val="0"/>
          <w:numId w:val="1"/>
        </w:numPr>
      </w:pPr>
      <w:r>
        <w:t>Polynomial Kernel</w:t>
      </w:r>
      <w:r>
        <w:tab/>
      </w:r>
    </w:p>
    <w:p w14:paraId="13494148" w14:textId="517852B8" w:rsidR="007A4443" w:rsidRDefault="00000000" w:rsidP="007A444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ζ</m:t>
                  </m:r>
                  <m:r>
                    <w:rPr>
                      <w:rFonts w:ascii="Cambria Math" w:hAnsi="Cambria Math"/>
                    </w:rPr>
                    <m:t>+ 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14:paraId="3AAA2317" w14:textId="40D451BE" w:rsidR="007A4443" w:rsidRPr="007A4443" w:rsidRDefault="007A4443" w:rsidP="007A4443">
      <w:pPr>
        <w:pStyle w:val="ListParagraph"/>
        <w:numPr>
          <w:ilvl w:val="0"/>
          <w:numId w:val="1"/>
        </w:numPr>
      </w:pPr>
      <w:r>
        <w:t>Radial Basis Function Kernel</w:t>
      </w:r>
      <w:r>
        <w:tab/>
      </w:r>
    </w:p>
    <w:p w14:paraId="563986C4" w14:textId="3EE6E348" w:rsidR="007A4443" w:rsidRPr="007A4443" w:rsidRDefault="00000000" w:rsidP="007A444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2951F2C" w14:textId="77777777" w:rsidR="007A4443" w:rsidRPr="007A4443" w:rsidRDefault="007A4443" w:rsidP="007A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Sigmoid Kernel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E00B102" w14:textId="714B4AC6" w:rsidR="007A4443" w:rsidRPr="007A4443" w:rsidRDefault="00000000" w:rsidP="007A4443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x + 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E0E09A9" w14:textId="77777777" w:rsidR="007A4443" w:rsidRDefault="007A4443" w:rsidP="007A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Laplacian Kernel</w:t>
      </w:r>
    </w:p>
    <w:p w14:paraId="6D950157" w14:textId="5EFD5905" w:rsidR="00DE6E44" w:rsidRPr="009F5165" w:rsidRDefault="00000000" w:rsidP="009F5165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20C66BF9" w14:textId="6421043F" w:rsidR="00A91B4E" w:rsidRDefault="00A91B4E" w:rsidP="00CA2A6E">
      <w:pPr>
        <w:pStyle w:val="Heading1"/>
      </w:pPr>
      <w:r>
        <w:t>Section 3.1</w:t>
      </w:r>
    </w:p>
    <w:p w14:paraId="61ACD20E" w14:textId="1BF6C5E0" w:rsidR="00A91B4E" w:rsidRDefault="00A91B4E" w:rsidP="00A91B4E">
      <w:pPr>
        <w:pStyle w:val="Subtitle"/>
      </w:pPr>
      <w:r>
        <w:t xml:space="preserve">Required files: </w:t>
      </w:r>
      <w:r w:rsidR="00511167">
        <w:t>SVM</w:t>
      </w:r>
      <w:r>
        <w:t>_binary.py</w:t>
      </w:r>
    </w:p>
    <w:p w14:paraId="47A1DD9C" w14:textId="270E23DF" w:rsidR="00094C72" w:rsidRPr="00094C72" w:rsidRDefault="00094C72" w:rsidP="00094C72">
      <w:proofErr w:type="gramStart"/>
      <w:r>
        <w:t>fit(</w:t>
      </w:r>
      <w:proofErr w:type="gramEnd"/>
      <w:r>
        <w:t>) function is divided into the following parts</w:t>
      </w:r>
    </w:p>
    <w:p w14:paraId="07D47016" w14:textId="4F2EDB22" w:rsidR="00094C72" w:rsidRDefault="00A809AD" w:rsidP="00A809AD">
      <w:pPr>
        <w:pStyle w:val="ListParagraph"/>
        <w:numPr>
          <w:ilvl w:val="0"/>
          <w:numId w:val="1"/>
        </w:numPr>
      </w:pPr>
      <w:r>
        <w:t>Input from csv</w:t>
      </w:r>
    </w:p>
    <w:p w14:paraId="539977C0" w14:textId="66BB56DE" w:rsidR="00A809AD" w:rsidRDefault="00A809AD" w:rsidP="00A809AD">
      <w:pPr>
        <w:pStyle w:val="ListParagraph"/>
        <w:numPr>
          <w:ilvl w:val="0"/>
          <w:numId w:val="1"/>
        </w:numPr>
      </w:pPr>
      <w:r>
        <w:t>Calculation of kernel</w:t>
      </w:r>
    </w:p>
    <w:p w14:paraId="3C006854" w14:textId="77A7C4FA" w:rsidR="00A809AD" w:rsidRDefault="00A809AD" w:rsidP="00A809AD">
      <w:pPr>
        <w:pStyle w:val="ListParagraph"/>
        <w:numPr>
          <w:ilvl w:val="0"/>
          <w:numId w:val="1"/>
        </w:numPr>
      </w:pPr>
      <w:r>
        <w:t xml:space="preserve">Solving dual of soft-margin </w:t>
      </w:r>
      <w:r w:rsidR="00511167">
        <w:t>SVM</w:t>
      </w:r>
      <w:r>
        <w:t xml:space="preserve"> using </w:t>
      </w:r>
      <w:proofErr w:type="spellStart"/>
      <w:r>
        <w:t>qpsolver</w:t>
      </w:r>
      <w:proofErr w:type="spellEnd"/>
      <w:r w:rsidR="009B0CC6">
        <w:t xml:space="preserve"> for </w:t>
      </w:r>
      <w:r w:rsidR="009B0CC6">
        <w:rPr>
          <w:rFonts w:cstheme="minorHAnsi"/>
        </w:rPr>
        <w:t>α</w:t>
      </w:r>
    </w:p>
    <w:p w14:paraId="19AE02D9" w14:textId="03E17DDC" w:rsidR="009B0CC6" w:rsidRDefault="009B0CC6" w:rsidP="009B0CC6">
      <w:r>
        <w:t xml:space="preserve">Soft margin </w:t>
      </w:r>
      <w:r w:rsidR="00511167">
        <w:t>SVM</w:t>
      </w:r>
      <w:r>
        <w:t xml:space="preserve"> is formulate</w:t>
      </w:r>
      <w:r w:rsidR="00A71996">
        <w:t>d</w:t>
      </w:r>
      <w:r>
        <w:t xml:space="preserve"> as</w:t>
      </w:r>
    </w:p>
    <w:p w14:paraId="20957125" w14:textId="7B0E09C1" w:rsidR="009B0CC6" w:rsidRDefault="009B0CC6" w:rsidP="00C10DF5">
      <w:pPr>
        <w:jc w:val="center"/>
      </w:pPr>
      <w:r w:rsidRPr="009B0CC6">
        <w:rPr>
          <w:noProof/>
        </w:rPr>
        <w:drawing>
          <wp:inline distT="0" distB="0" distL="0" distR="0" wp14:anchorId="7757A1D4" wp14:editId="1186CA5D">
            <wp:extent cx="3240000" cy="1864574"/>
            <wp:effectExtent l="0" t="0" r="0" b="2540"/>
            <wp:docPr id="18585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540" w14:textId="4CA33365" w:rsidR="00C10DF5" w:rsidRDefault="00C10DF5" w:rsidP="00C10DF5">
      <w:pPr>
        <w:jc w:val="center"/>
      </w:pPr>
      <w:r>
        <w:t>Source: COL341 Homework 2</w:t>
      </w:r>
    </w:p>
    <w:p w14:paraId="2BBDAA4D" w14:textId="4A30816F" w:rsidR="00BC65EE" w:rsidRDefault="00BC65EE" w:rsidP="00A809AD">
      <w:pPr>
        <w:pStyle w:val="ListParagraph"/>
        <w:numPr>
          <w:ilvl w:val="0"/>
          <w:numId w:val="1"/>
        </w:numPr>
      </w:pPr>
      <w:r>
        <w:t>Storing indices of support vectors</w:t>
      </w:r>
    </w:p>
    <w:p w14:paraId="41E24DD9" w14:textId="18B2D52F" w:rsidR="00BC65EE" w:rsidRDefault="00BC65EE" w:rsidP="00A809AD">
      <w:pPr>
        <w:pStyle w:val="ListParagraph"/>
        <w:numPr>
          <w:ilvl w:val="0"/>
          <w:numId w:val="1"/>
        </w:numPr>
      </w:pPr>
      <w:r>
        <w:t xml:space="preserve">Calculating and storing </w:t>
      </w:r>
      <w:r w:rsidRPr="00BC65EE">
        <w:rPr>
          <w:i/>
          <w:iCs/>
        </w:rPr>
        <w:t>b</w:t>
      </w:r>
    </w:p>
    <w:p w14:paraId="5D27760C" w14:textId="4F657EF9" w:rsidR="00094C72" w:rsidRDefault="00AF5B3E" w:rsidP="00094C72">
      <w:proofErr w:type="gramStart"/>
      <w:r>
        <w:t>predict(</w:t>
      </w:r>
      <w:proofErr w:type="gramEnd"/>
      <w:r>
        <w:t>) function is divided into the following parts</w:t>
      </w:r>
    </w:p>
    <w:p w14:paraId="03C50701" w14:textId="013D07AB" w:rsidR="00AF5B3E" w:rsidRPr="00AF5B3E" w:rsidRDefault="00AF5B3E" w:rsidP="00AF5B3E">
      <w:pPr>
        <w:pStyle w:val="ListParagraph"/>
        <w:numPr>
          <w:ilvl w:val="0"/>
          <w:numId w:val="4"/>
        </w:numPr>
      </w:pPr>
      <w:r>
        <w:t xml:space="preserve">Calculation of g(x) without implicit calculation of </w:t>
      </w:r>
      <w:r w:rsidRPr="00AF5B3E">
        <w:rPr>
          <w:i/>
          <w:iCs/>
        </w:rPr>
        <w:t>w</w:t>
      </w:r>
    </w:p>
    <w:p w14:paraId="1D5BD66F" w14:textId="253EC355" w:rsidR="00AF5B3E" w:rsidRDefault="00AF5B3E" w:rsidP="00AF5B3E">
      <w:pPr>
        <w:pStyle w:val="ListParagraph"/>
        <w:numPr>
          <w:ilvl w:val="0"/>
          <w:numId w:val="4"/>
        </w:numPr>
      </w:pPr>
      <w:r>
        <w:t>Label</w:t>
      </w:r>
    </w:p>
    <w:p w14:paraId="73D848A0" w14:textId="77777777" w:rsidR="001164D6" w:rsidRDefault="001164D6" w:rsidP="001164D6"/>
    <w:p w14:paraId="32618452" w14:textId="7BDCB562" w:rsidR="002E76E1" w:rsidRPr="00094C72" w:rsidRDefault="00520380" w:rsidP="00094C72">
      <w:pPr>
        <w:rPr>
          <w:rStyle w:val="IntenseEmphasis"/>
        </w:rPr>
      </w:pPr>
      <w:r w:rsidRPr="00094C72">
        <w:rPr>
          <w:rStyle w:val="IntenseEmphasis"/>
        </w:rPr>
        <w:lastRenderedPageBreak/>
        <w:t>Addition of threshold to improve performance</w:t>
      </w:r>
    </w:p>
    <w:p w14:paraId="780D646C" w14:textId="7F551758" w:rsidR="00253A2F" w:rsidRDefault="00253A2F" w:rsidP="00520380">
      <w:pPr>
        <w:rPr>
          <w:rFonts w:eastAsiaTheme="minorEastAsia"/>
        </w:rPr>
      </w:pPr>
      <w:r>
        <w:t xml:space="preserve">I have modified the existing clause of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&gt; 0 and 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&lt; C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α&gt; thres and α&lt; C</m:t>
        </m:r>
      </m:oMath>
      <w:r>
        <w:rPr>
          <w:rFonts w:eastAsiaTheme="minorEastAsia"/>
        </w:rPr>
        <w:t>.</w:t>
      </w:r>
    </w:p>
    <w:p w14:paraId="7E6D7C1B" w14:textId="675842F1" w:rsidR="00253A2F" w:rsidRDefault="00253A2F" w:rsidP="00520380">
      <w:pPr>
        <w:rPr>
          <w:rFonts w:eastAsiaTheme="minorEastAsia"/>
        </w:rPr>
      </w:pPr>
      <w:r>
        <w:rPr>
          <w:rFonts w:eastAsiaTheme="minorEastAsia"/>
        </w:rPr>
        <w:t xml:space="preserve">This was done to reduce the number of required support vectors and improve the run-time performance of the code. Care was taken to ensure this would not considerably impact the value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by comparing the </w:t>
      </w:r>
      <w:r w:rsidR="00B7786A">
        <w:rPr>
          <w:rFonts w:eastAsiaTheme="minorEastAsia"/>
        </w:rPr>
        <w:t>overall range of Kernel values (i.e., there was no such case where Kernel value would be incredibly large to compensate for the small value of alpha)</w:t>
      </w:r>
      <w:r w:rsidR="002835AE"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thres</m:t>
        </m:r>
      </m:oMath>
      <w:r w:rsidR="002835AE">
        <w:rPr>
          <w:rFonts w:eastAsiaTheme="minorEastAsia"/>
        </w:rPr>
        <w:t xml:space="preserve"> was however, determined empirically and may not perform</w:t>
      </w:r>
      <w:r w:rsidR="004E7269">
        <w:rPr>
          <w:rFonts w:eastAsiaTheme="minorEastAsia"/>
        </w:rPr>
        <w:t xml:space="preserve"> well</w:t>
      </w:r>
      <w:r w:rsidR="002835AE">
        <w:rPr>
          <w:rFonts w:eastAsiaTheme="minorEastAsia"/>
        </w:rPr>
        <w:t xml:space="preserve"> for other training sets.</w:t>
      </w:r>
    </w:p>
    <w:p w14:paraId="0A116540" w14:textId="20C67DDD" w:rsidR="007F2916" w:rsidRDefault="001F5C4A" w:rsidP="00520380">
      <w:pPr>
        <w:rPr>
          <w:rFonts w:eastAsiaTheme="minorEastAsia"/>
        </w:rPr>
      </w:pPr>
      <w:r>
        <w:rPr>
          <w:rFonts w:eastAsiaTheme="minorEastAsia"/>
        </w:rPr>
        <w:t xml:space="preserve">Using QP Solver: </w:t>
      </w:r>
      <w:proofErr w:type="spellStart"/>
      <w:r w:rsidRPr="001F5C4A">
        <w:rPr>
          <w:rFonts w:eastAsiaTheme="minorEastAsia"/>
          <w:i/>
          <w:iCs/>
        </w:rPr>
        <w:t>ecos</w:t>
      </w:r>
      <w:proofErr w:type="spellEnd"/>
    </w:p>
    <w:p w14:paraId="493B4F85" w14:textId="3BAE1773" w:rsidR="00CA2A6E" w:rsidRDefault="00CA2A6E" w:rsidP="00CA2A6E">
      <w:pPr>
        <w:pStyle w:val="Heading1"/>
      </w:pPr>
      <w:r>
        <w:t>Section 3.2</w:t>
      </w:r>
    </w:p>
    <w:p w14:paraId="0C2B0F3E" w14:textId="5B4B39F8" w:rsidR="00CA2A6E" w:rsidRDefault="00B76440" w:rsidP="00FE1E76">
      <w:pPr>
        <w:pStyle w:val="Subtitle"/>
      </w:pPr>
      <w:r>
        <w:t>Required files: analysis.py</w:t>
      </w:r>
    </w:p>
    <w:p w14:paraId="60AA6DA7" w14:textId="0FBACE79" w:rsidR="006D1550" w:rsidRDefault="006D1550" w:rsidP="006C5D46">
      <w:pPr>
        <w:pStyle w:val="ListParagraph"/>
        <w:numPr>
          <w:ilvl w:val="0"/>
          <w:numId w:val="3"/>
        </w:numPr>
      </w:pPr>
      <w:r>
        <w:t>Linear Kernel</w:t>
      </w:r>
      <w:r w:rsidR="0088679F">
        <w:t xml:space="preserve"> Confusion Matrices</w:t>
      </w:r>
      <w:r w:rsidR="00A01E83">
        <w:t xml:space="preserve"> (Same for all C)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260AEC" w:rsidRPr="00260AEC" w14:paraId="5B5F17DD" w14:textId="77777777" w:rsidTr="00260AEC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993F" w14:textId="77777777" w:rsidR="00260AEC" w:rsidRPr="00260AEC" w:rsidRDefault="00260AEC" w:rsidP="00260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036" w14:textId="77777777" w:rsidR="00260AEC" w:rsidRPr="00260AEC" w:rsidRDefault="00260AEC" w:rsidP="00260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260AEC" w:rsidRPr="00260AEC" w14:paraId="102902FD" w14:textId="77777777" w:rsidTr="00260AEC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367BA" w14:textId="77777777" w:rsidR="00260AEC" w:rsidRPr="00260AEC" w:rsidRDefault="00260AEC" w:rsidP="00260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4F40BB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A7330EE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260AEC" w:rsidRPr="00260AEC" w14:paraId="6E4FE5F3" w14:textId="77777777" w:rsidTr="00260AEC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664D" w14:textId="77777777" w:rsidR="00260AEC" w:rsidRPr="00260AEC" w:rsidRDefault="00260AEC" w:rsidP="00260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B548E6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90D9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0E2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60AEC" w:rsidRPr="00260AEC" w14:paraId="7CA90AD2" w14:textId="77777777" w:rsidTr="00260AEC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5920B" w14:textId="77777777" w:rsidR="00260AEC" w:rsidRPr="00260AEC" w:rsidRDefault="00260AEC" w:rsidP="0026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4305FBA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3119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4D59" w14:textId="77777777" w:rsidR="00260AEC" w:rsidRPr="00260AEC" w:rsidRDefault="00260AEC" w:rsidP="0026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A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</w:tbl>
    <w:p w14:paraId="0E3B8857" w14:textId="7B418F31" w:rsidR="006D1550" w:rsidRDefault="006D1550" w:rsidP="00460157"/>
    <w:p w14:paraId="1D1F5618" w14:textId="12B1F925" w:rsidR="00276DBD" w:rsidRDefault="00276DBD" w:rsidP="00276DBD">
      <w:pPr>
        <w:jc w:val="center"/>
      </w:pPr>
      <w:r>
        <w:rPr>
          <w:noProof/>
        </w:rPr>
        <w:drawing>
          <wp:inline distT="0" distB="0" distL="0" distR="0" wp14:anchorId="4EF6C454" wp14:editId="6BD6A673">
            <wp:extent cx="3240000" cy="2430179"/>
            <wp:effectExtent l="0" t="0" r="0" b="8255"/>
            <wp:docPr id="1754602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5FD1" w14:textId="25C0DF3B" w:rsidR="00276DBD" w:rsidRDefault="00276DBD" w:rsidP="00276DBD">
      <w:r>
        <w:t>No observable change with C in linear kernel</w:t>
      </w:r>
    </w:p>
    <w:p w14:paraId="50AFAAC6" w14:textId="77777777" w:rsidR="00276DBD" w:rsidRDefault="00276DBD" w:rsidP="00276DBD">
      <w:pPr>
        <w:jc w:val="center"/>
      </w:pPr>
    </w:p>
    <w:p w14:paraId="11EF8CB8" w14:textId="0710079E" w:rsidR="006573AC" w:rsidRDefault="00924743" w:rsidP="006573AC">
      <w:pPr>
        <w:pStyle w:val="ListParagraph"/>
        <w:numPr>
          <w:ilvl w:val="0"/>
          <w:numId w:val="3"/>
        </w:numPr>
      </w:pPr>
      <w:r>
        <w:t>RBF Kernel Confusion Matrices</w:t>
      </w:r>
    </w:p>
    <w:p w14:paraId="177514AA" w14:textId="2D60A1C6" w:rsidR="00924743" w:rsidRDefault="00924743" w:rsidP="00924743">
      <w:pPr>
        <w:pStyle w:val="ListParagraph"/>
        <w:numPr>
          <w:ilvl w:val="0"/>
          <w:numId w:val="1"/>
        </w:numPr>
      </w:pPr>
      <w:r w:rsidRPr="00924743">
        <w:t xml:space="preserve">C = </w:t>
      </w:r>
      <w:r w:rsidR="00FF0FD7">
        <w:t>{0.1,</w:t>
      </w:r>
      <w:r w:rsidRPr="00924743">
        <w:t>0.01</w:t>
      </w:r>
      <w:r w:rsidR="00FF0FD7">
        <w:t>}</w:t>
      </w:r>
      <w:r w:rsidRPr="00924743">
        <w:t xml:space="preserve"> </w:t>
      </w:r>
      <w:r w:rsidR="00734C7F">
        <w:t xml:space="preserve">Any </w:t>
      </w:r>
      <w:r w:rsidR="008F6580">
        <w:t>Γ</w:t>
      </w:r>
      <w:r w:rsidRPr="00924743">
        <w:t xml:space="preserve"> 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924743" w:rsidRPr="00924743" w14:paraId="615D1166" w14:textId="77777777" w:rsidTr="00276DBD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584" w14:textId="77777777" w:rsidR="00924743" w:rsidRPr="00924743" w:rsidRDefault="00924743" w:rsidP="00924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CB66" w14:textId="77777777" w:rsidR="00924743" w:rsidRPr="00924743" w:rsidRDefault="00924743" w:rsidP="00924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924743" w:rsidRPr="00924743" w14:paraId="10CD8DE1" w14:textId="77777777" w:rsidTr="00276DBD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14DF2" w14:textId="77777777" w:rsidR="00924743" w:rsidRPr="00924743" w:rsidRDefault="00924743" w:rsidP="00924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7C81939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27C9784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924743" w:rsidRPr="00924743" w14:paraId="2B4B279C" w14:textId="77777777" w:rsidTr="00276DBD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ABEF" w14:textId="77777777" w:rsidR="00924743" w:rsidRPr="00924743" w:rsidRDefault="00924743" w:rsidP="00924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78B656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1CD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AD8E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924743" w:rsidRPr="00924743" w14:paraId="67268E26" w14:textId="77777777" w:rsidTr="00276DBD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B625C" w14:textId="77777777" w:rsidR="00924743" w:rsidRPr="00924743" w:rsidRDefault="00924743" w:rsidP="00924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A3969B1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9853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66A4" w14:textId="77777777" w:rsidR="00924743" w:rsidRPr="00924743" w:rsidRDefault="00924743" w:rsidP="00924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247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763E7FCB" w14:textId="56B97865" w:rsidR="00924743" w:rsidRDefault="00924743" w:rsidP="00924743"/>
    <w:p w14:paraId="244C9907" w14:textId="752A0673" w:rsidR="00924743" w:rsidRDefault="00924743" w:rsidP="00924743">
      <w:r>
        <w:t>All labels are -1</w:t>
      </w:r>
    </w:p>
    <w:p w14:paraId="68466422" w14:textId="056EB92D" w:rsidR="00734C7F" w:rsidRDefault="00D339F4" w:rsidP="00734C7F">
      <w:pPr>
        <w:pStyle w:val="ListParagraph"/>
        <w:numPr>
          <w:ilvl w:val="0"/>
          <w:numId w:val="1"/>
        </w:numPr>
      </w:pPr>
      <w:r>
        <w:lastRenderedPageBreak/>
        <w:t xml:space="preserve">C = 1 </w:t>
      </w:r>
      <w:r w:rsidR="008F6580">
        <w:t>Γ</w:t>
      </w:r>
      <w:r>
        <w:t xml:space="preserve"> = 0.</w:t>
      </w:r>
      <w:r w:rsidR="00BF7673">
        <w:t>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690A36" w:rsidRPr="00690A36" w14:paraId="098E11AD" w14:textId="77777777" w:rsidTr="00690A36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534D" w14:textId="77777777" w:rsidR="00690A36" w:rsidRPr="00690A36" w:rsidRDefault="00690A36" w:rsidP="00690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6D97" w14:textId="77777777" w:rsidR="00690A36" w:rsidRPr="00690A36" w:rsidRDefault="00690A36" w:rsidP="0069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690A36" w:rsidRPr="00690A36" w14:paraId="63884A0E" w14:textId="77777777" w:rsidTr="00690A36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8C8D4" w14:textId="77777777" w:rsidR="00690A36" w:rsidRPr="00690A36" w:rsidRDefault="00690A36" w:rsidP="00690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4D4295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000389A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690A36" w:rsidRPr="00690A36" w14:paraId="08B3E5B0" w14:textId="77777777" w:rsidTr="00690A36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DA51" w14:textId="77777777" w:rsidR="00690A36" w:rsidRPr="00690A36" w:rsidRDefault="00690A36" w:rsidP="0069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FD5076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7C3B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DA92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90A36" w:rsidRPr="00690A36" w14:paraId="77BED02D" w14:textId="77777777" w:rsidTr="00690A36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F51D3" w14:textId="77777777" w:rsidR="00690A36" w:rsidRPr="00690A36" w:rsidRDefault="00690A36" w:rsidP="0069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772F108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909B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55D6" w14:textId="77777777" w:rsidR="00690A36" w:rsidRPr="00690A36" w:rsidRDefault="00690A36" w:rsidP="00690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0A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</w:tbl>
    <w:p w14:paraId="67916BD1" w14:textId="77777777" w:rsidR="00690A36" w:rsidRPr="006D1550" w:rsidRDefault="00690A36" w:rsidP="00690A36"/>
    <w:p w14:paraId="76A4A938" w14:textId="5EA071A6" w:rsidR="00642760" w:rsidRDefault="00690A36" w:rsidP="00690A36">
      <w:pPr>
        <w:pStyle w:val="ListParagraph"/>
        <w:numPr>
          <w:ilvl w:val="0"/>
          <w:numId w:val="1"/>
        </w:numPr>
      </w:pPr>
      <w:r>
        <w:t xml:space="preserve">C = 1 </w:t>
      </w:r>
      <w:r w:rsidR="008F6580">
        <w:t>Γ</w:t>
      </w:r>
      <w:r>
        <w:t xml:space="preserve"> = 0.01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EF72C1" w:rsidRPr="00EF72C1" w14:paraId="7566D388" w14:textId="77777777" w:rsidTr="00EF72C1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5572" w14:textId="77777777" w:rsidR="00EF72C1" w:rsidRPr="00EF72C1" w:rsidRDefault="00EF72C1" w:rsidP="00EF7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1FC" w14:textId="77777777" w:rsidR="00EF72C1" w:rsidRPr="00EF72C1" w:rsidRDefault="00EF72C1" w:rsidP="00EF7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EF72C1" w:rsidRPr="00EF72C1" w14:paraId="302D50DF" w14:textId="77777777" w:rsidTr="00EF72C1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DF116" w14:textId="77777777" w:rsidR="00EF72C1" w:rsidRPr="00EF72C1" w:rsidRDefault="00EF72C1" w:rsidP="00EF7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A68306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DFD798F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EF72C1" w:rsidRPr="00EF72C1" w14:paraId="1CDC764F" w14:textId="77777777" w:rsidTr="00EF72C1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4078" w14:textId="77777777" w:rsidR="00EF72C1" w:rsidRPr="00EF72C1" w:rsidRDefault="00EF72C1" w:rsidP="00EF7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AA240B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9BC8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FCB6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F72C1" w:rsidRPr="00EF72C1" w14:paraId="3B71F1CF" w14:textId="77777777" w:rsidTr="00EF72C1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38446" w14:textId="77777777" w:rsidR="00EF72C1" w:rsidRPr="00EF72C1" w:rsidRDefault="00EF72C1" w:rsidP="00EF7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1E64787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AE34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E884" w14:textId="77777777" w:rsidR="00EF72C1" w:rsidRPr="00EF72C1" w:rsidRDefault="00EF72C1" w:rsidP="00EF7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72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</w:tbl>
    <w:p w14:paraId="2EB2A627" w14:textId="0146E672" w:rsidR="00690A36" w:rsidRDefault="00690A36" w:rsidP="00690A36"/>
    <w:p w14:paraId="18035B17" w14:textId="226F0998" w:rsidR="00EF72C1" w:rsidRDefault="00CA4236" w:rsidP="00CA4236">
      <w:pPr>
        <w:pStyle w:val="ListParagraph"/>
        <w:numPr>
          <w:ilvl w:val="0"/>
          <w:numId w:val="1"/>
        </w:numPr>
      </w:pPr>
      <w:r>
        <w:t xml:space="preserve">C = 1 </w:t>
      </w:r>
      <w:r w:rsidR="008F6580">
        <w:t>Γ</w:t>
      </w:r>
      <w:r>
        <w:t xml:space="preserve"> = 0.001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EF66EA" w:rsidRPr="00EF66EA" w14:paraId="13ED347A" w14:textId="77777777" w:rsidTr="00EF66EA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59BE" w14:textId="77777777" w:rsidR="00EF66EA" w:rsidRPr="00EF66EA" w:rsidRDefault="00EF66EA" w:rsidP="00EF6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D0B3" w14:textId="77777777" w:rsidR="00EF66EA" w:rsidRPr="00EF66EA" w:rsidRDefault="00EF66EA" w:rsidP="00EF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EF66EA" w:rsidRPr="00EF66EA" w14:paraId="4CE2189D" w14:textId="77777777" w:rsidTr="00EF66EA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2F0CF" w14:textId="77777777" w:rsidR="00EF66EA" w:rsidRPr="00EF66EA" w:rsidRDefault="00EF66EA" w:rsidP="00EF6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DCE96D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F3C53A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EF66EA" w:rsidRPr="00EF66EA" w14:paraId="46F967D4" w14:textId="77777777" w:rsidTr="00EF66EA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1102" w14:textId="77777777" w:rsidR="00EF66EA" w:rsidRPr="00EF66EA" w:rsidRDefault="00EF66EA" w:rsidP="00EF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DB448A1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63A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D2B0" w14:textId="7CA61631" w:rsidR="00EF66EA" w:rsidRPr="00EF66EA" w:rsidRDefault="00EF66EA" w:rsidP="00511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5111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EF66EA" w:rsidRPr="00EF66EA" w14:paraId="6A639C21" w14:textId="77777777" w:rsidTr="00EF66EA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10B34" w14:textId="77777777" w:rsidR="00EF66EA" w:rsidRPr="00EF66EA" w:rsidRDefault="00EF66EA" w:rsidP="00EF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E7A5E7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6ADB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2887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</w:tbl>
    <w:p w14:paraId="270D5AB8" w14:textId="3AB5ED5C" w:rsidR="00067F36" w:rsidRDefault="00067F36" w:rsidP="00067F36"/>
    <w:p w14:paraId="705FBA89" w14:textId="78A2F72C" w:rsidR="00EF66EA" w:rsidRDefault="00EF66EA" w:rsidP="00EF66EA">
      <w:pPr>
        <w:pStyle w:val="ListParagraph"/>
        <w:numPr>
          <w:ilvl w:val="0"/>
          <w:numId w:val="1"/>
        </w:numPr>
      </w:pPr>
      <w:r>
        <w:t xml:space="preserve">C = 10 </w:t>
      </w:r>
      <w:r w:rsidR="008F6580">
        <w:t>Γ</w:t>
      </w:r>
      <w:r>
        <w:t xml:space="preserve"> = 0.1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EF66EA" w:rsidRPr="00EF66EA" w14:paraId="20E7BA66" w14:textId="77777777" w:rsidTr="00EF66EA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9367" w14:textId="77777777" w:rsidR="00EF66EA" w:rsidRPr="00EF66EA" w:rsidRDefault="00EF66EA" w:rsidP="00EF6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B6C7" w14:textId="77777777" w:rsidR="00EF66EA" w:rsidRPr="00EF66EA" w:rsidRDefault="00EF66EA" w:rsidP="00EF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EF66EA" w:rsidRPr="00EF66EA" w14:paraId="553636D6" w14:textId="77777777" w:rsidTr="00EF66EA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A72E" w14:textId="77777777" w:rsidR="00EF66EA" w:rsidRPr="00EF66EA" w:rsidRDefault="00EF66EA" w:rsidP="00EF6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A87E87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E0AF3C3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EF66EA" w:rsidRPr="00EF66EA" w14:paraId="4B0D3B98" w14:textId="77777777" w:rsidTr="00EF66EA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9606" w14:textId="77777777" w:rsidR="00EF66EA" w:rsidRPr="00EF66EA" w:rsidRDefault="00EF66EA" w:rsidP="00EF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A21555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3DB7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552B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F66EA" w:rsidRPr="00EF66EA" w14:paraId="541F5117" w14:textId="77777777" w:rsidTr="00EF66EA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226A" w14:textId="77777777" w:rsidR="00EF66EA" w:rsidRPr="00EF66EA" w:rsidRDefault="00EF66EA" w:rsidP="00EF6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A99216F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92DD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05B8" w14:textId="77777777" w:rsidR="00EF66EA" w:rsidRPr="00EF66EA" w:rsidRDefault="00EF66EA" w:rsidP="00EF6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F66E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</w:tbl>
    <w:p w14:paraId="4FC4435B" w14:textId="7E0DE965" w:rsidR="00EF66EA" w:rsidRDefault="00EF66EA" w:rsidP="00EF66EA"/>
    <w:p w14:paraId="76BFB7DB" w14:textId="2AE32C41" w:rsidR="00EF66EA" w:rsidRDefault="00EF66EA" w:rsidP="00EF66EA">
      <w:pPr>
        <w:pStyle w:val="ListParagraph"/>
        <w:numPr>
          <w:ilvl w:val="0"/>
          <w:numId w:val="1"/>
        </w:numPr>
      </w:pPr>
      <w:r>
        <w:t xml:space="preserve">C = 10 </w:t>
      </w:r>
      <w:r w:rsidR="008F6580">
        <w:t>Γ</w:t>
      </w:r>
      <w:r>
        <w:t xml:space="preserve"> = 0.01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0B5DDA" w:rsidRPr="000B5DDA" w14:paraId="55B6183E" w14:textId="77777777" w:rsidTr="000B5DDA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D8AE" w14:textId="77777777" w:rsidR="000B5DDA" w:rsidRPr="000B5DDA" w:rsidRDefault="000B5DDA" w:rsidP="000B5D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5FB" w14:textId="77777777" w:rsidR="000B5DDA" w:rsidRPr="000B5DDA" w:rsidRDefault="000B5DDA" w:rsidP="000B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0B5DDA" w:rsidRPr="000B5DDA" w14:paraId="0697F645" w14:textId="77777777" w:rsidTr="000B5DDA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CD83E" w14:textId="77777777" w:rsidR="000B5DDA" w:rsidRPr="000B5DDA" w:rsidRDefault="000B5DDA" w:rsidP="000B5D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909492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A07AE8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0B5DDA" w:rsidRPr="000B5DDA" w14:paraId="57D04B66" w14:textId="77777777" w:rsidTr="000B5DDA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5C68" w14:textId="77777777" w:rsidR="000B5DDA" w:rsidRPr="000B5DDA" w:rsidRDefault="000B5DDA" w:rsidP="000B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418C31E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3EBA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1D78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0B5DDA" w:rsidRPr="000B5DDA" w14:paraId="25DEED6C" w14:textId="77777777" w:rsidTr="000B5DDA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97AD8" w14:textId="77777777" w:rsidR="000B5DDA" w:rsidRPr="000B5DDA" w:rsidRDefault="000B5DDA" w:rsidP="000B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41A94CC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858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4078" w14:textId="77777777" w:rsidR="000B5DDA" w:rsidRPr="000B5DDA" w:rsidRDefault="000B5DDA" w:rsidP="000B5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5D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</w:tbl>
    <w:p w14:paraId="7F8B4A81" w14:textId="19A61012" w:rsidR="00EF66EA" w:rsidRDefault="00EF66EA" w:rsidP="00EF66EA"/>
    <w:p w14:paraId="12C33ABD" w14:textId="03F2C230" w:rsidR="000B5DDA" w:rsidRDefault="000B5DDA" w:rsidP="000B5DDA">
      <w:pPr>
        <w:pStyle w:val="ListParagraph"/>
        <w:numPr>
          <w:ilvl w:val="0"/>
          <w:numId w:val="1"/>
        </w:numPr>
      </w:pPr>
      <w:r>
        <w:t xml:space="preserve">C = 10 </w:t>
      </w:r>
      <w:r w:rsidR="008F6580">
        <w:t>Γ</w:t>
      </w:r>
      <w:r>
        <w:t xml:space="preserve"> = 0.001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54"/>
        <w:gridCol w:w="431"/>
        <w:gridCol w:w="895"/>
        <w:gridCol w:w="960"/>
      </w:tblGrid>
      <w:tr w:rsidR="0003702A" w:rsidRPr="0003702A" w14:paraId="40B8D2C1" w14:textId="77777777" w:rsidTr="004D1CC2">
        <w:trPr>
          <w:trHeight w:val="29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578" w14:textId="77777777" w:rsidR="0003702A" w:rsidRPr="0003702A" w:rsidRDefault="0003702A" w:rsidP="00037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4A2E" w14:textId="77777777" w:rsidR="0003702A" w:rsidRPr="0003702A" w:rsidRDefault="0003702A" w:rsidP="00037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</w:tr>
      <w:tr w:rsidR="0003702A" w:rsidRPr="0003702A" w14:paraId="2C08163E" w14:textId="77777777" w:rsidTr="004D1CC2">
        <w:trPr>
          <w:trHeight w:val="29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9FC53" w14:textId="77777777" w:rsidR="0003702A" w:rsidRPr="0003702A" w:rsidRDefault="0003702A" w:rsidP="00037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D1B733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76DD819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</w:tr>
      <w:tr w:rsidR="0003702A" w:rsidRPr="0003702A" w14:paraId="0E057E00" w14:textId="77777777" w:rsidTr="004D1CC2">
        <w:trPr>
          <w:trHeight w:val="290"/>
        </w:trPr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1639" w14:textId="77777777" w:rsidR="0003702A" w:rsidRPr="0003702A" w:rsidRDefault="0003702A" w:rsidP="00037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E437069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E9B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CE91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03702A" w:rsidRPr="0003702A" w14:paraId="442C74E2" w14:textId="77777777" w:rsidTr="004D1CC2">
        <w:trPr>
          <w:trHeight w:val="290"/>
        </w:trPr>
        <w:tc>
          <w:tcPr>
            <w:tcW w:w="15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F7A01" w14:textId="77777777" w:rsidR="0003702A" w:rsidRPr="0003702A" w:rsidRDefault="0003702A" w:rsidP="00037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B82E16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E4E6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1C66" w14:textId="77777777" w:rsidR="0003702A" w:rsidRPr="0003702A" w:rsidRDefault="0003702A" w:rsidP="00037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70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</w:tbl>
    <w:p w14:paraId="30D51B06" w14:textId="77777777" w:rsidR="0003702A" w:rsidRDefault="0003702A" w:rsidP="0003702A"/>
    <w:p w14:paraId="3563E9EF" w14:textId="2E8E1816" w:rsidR="00FE1E76" w:rsidRDefault="00FE1E76" w:rsidP="00FE1E76">
      <w:pPr>
        <w:jc w:val="center"/>
      </w:pPr>
      <w:r>
        <w:rPr>
          <w:noProof/>
        </w:rPr>
        <w:lastRenderedPageBreak/>
        <w:drawing>
          <wp:inline distT="0" distB="0" distL="0" distR="0" wp14:anchorId="6B224A79" wp14:editId="7B1B1C3B">
            <wp:extent cx="3240000" cy="2430179"/>
            <wp:effectExtent l="0" t="0" r="0" b="8255"/>
            <wp:docPr id="1092248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8CE8" w14:textId="7C2DF2D5" w:rsidR="00642760" w:rsidRDefault="00642760" w:rsidP="005D3854">
      <w:pPr>
        <w:jc w:val="center"/>
      </w:pPr>
      <w:r>
        <w:t>(</w:t>
      </w:r>
      <w:r>
        <w:rPr>
          <w:i/>
          <w:iCs/>
        </w:rPr>
        <w:t xml:space="preserve">Note: </w:t>
      </w:r>
      <w:r>
        <w:t>Curves for C = 0.01 and C = 0.1 overlap)</w:t>
      </w:r>
    </w:p>
    <w:p w14:paraId="2312BD81" w14:textId="6E81C1E0" w:rsidR="00E9799E" w:rsidRDefault="00E9799E" w:rsidP="00731CA4">
      <w:r>
        <w:t xml:space="preserve">Exponential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increases slowly for small x, and rapidly for large x. Hence, small values of </w:t>
      </w:r>
      <w:r w:rsidR="008F6580">
        <w:t>γ</w:t>
      </w:r>
      <w:r>
        <w:t xml:space="preserve"> are detrimental since they do not provide sufficient change in values after exponentiation (i.e., values group together for smaller </w:t>
      </w:r>
      <w:r w:rsidR="008F6580">
        <w:t>γ</w:t>
      </w:r>
      <w:r>
        <w:t>, and classifications worsens)</w:t>
      </w:r>
      <w:r w:rsidR="00937FB8">
        <w:t>.</w:t>
      </w:r>
    </w:p>
    <w:p w14:paraId="28791EC1" w14:textId="41BCD510" w:rsidR="00917E59" w:rsidRDefault="00FE1E76" w:rsidP="00BC25EE">
      <w:pPr>
        <w:jc w:val="center"/>
      </w:pPr>
      <w:r>
        <w:rPr>
          <w:noProof/>
        </w:rPr>
        <w:drawing>
          <wp:inline distT="0" distB="0" distL="0" distR="0" wp14:anchorId="3388C04D" wp14:editId="6ED8880B">
            <wp:extent cx="3240000" cy="2430179"/>
            <wp:effectExtent l="0" t="0" r="0" b="8255"/>
            <wp:docPr id="982392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953A" w14:textId="3C939309" w:rsidR="00917E59" w:rsidRDefault="00917E59" w:rsidP="00917E59">
      <w:r>
        <w:t>For very small values of C, slack variables can arbitrarily grow large, thus allowing</w:t>
      </w:r>
      <w:r w:rsidR="00860384">
        <w:t xml:space="preserve"> misclassification to easily occur. For very large values of C, slack variables diminish, and the soft margin </w:t>
      </w:r>
      <w:r w:rsidR="00511167">
        <w:t>SVM</w:t>
      </w:r>
      <w:r w:rsidR="00860384">
        <w:t xml:space="preserve"> tends to a hard margin </w:t>
      </w:r>
      <w:r w:rsidR="00511167">
        <w:t>SVM</w:t>
      </w:r>
      <w:r w:rsidR="00860384">
        <w:t>, which can lead to misclassification for non-linearly separable data.</w:t>
      </w:r>
    </w:p>
    <w:p w14:paraId="3F70519C" w14:textId="20BECD1F" w:rsidR="00917E59" w:rsidRDefault="00475177" w:rsidP="00917E59">
      <w:pPr>
        <w:rPr>
          <w:rFonts w:eastAsiaTheme="minorEastAsia"/>
        </w:rPr>
      </w:pPr>
      <w:r>
        <w:t>Best performance is for linear kernel, independent of C</w:t>
      </w:r>
      <w:r w:rsidR="005A592B">
        <w:t xml:space="preserve"> </w:t>
      </w:r>
      <w:r w:rsidR="00460799">
        <w:t>(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=0.07692307692307693</m:t>
        </m:r>
      </m:oMath>
      <w:r w:rsidR="00460799">
        <w:rPr>
          <w:rFonts w:eastAsiaTheme="minorEastAsia"/>
        </w:rPr>
        <w:t>).</w:t>
      </w:r>
    </w:p>
    <w:p w14:paraId="764ABD61" w14:textId="51AEA122" w:rsidR="00475177" w:rsidRDefault="00475177" w:rsidP="00917E59">
      <w:pPr>
        <w:rPr>
          <w:rFonts w:eastAsiaTheme="minorEastAsia"/>
        </w:rPr>
      </w:pPr>
      <w:r>
        <w:rPr>
          <w:rFonts w:eastAsiaTheme="minorEastAsia"/>
        </w:rPr>
        <w:t xml:space="preserve">We will choose linear kernel with C = 1 in competitive part (using better performance over </w:t>
      </w:r>
      <w:proofErr w:type="spellStart"/>
      <w:r>
        <w:rPr>
          <w:rFonts w:eastAsiaTheme="minorEastAsia"/>
        </w:rPr>
        <w:t>rbf</w:t>
      </w:r>
      <w:proofErr w:type="spellEnd"/>
      <w:r>
        <w:rPr>
          <w:rFonts w:eastAsiaTheme="minorEastAsia"/>
        </w:rPr>
        <w:t xml:space="preserve"> as parameter for selection of C)</w:t>
      </w:r>
      <w:r w:rsidR="00881446">
        <w:rPr>
          <w:rFonts w:eastAsiaTheme="minorEastAsia"/>
        </w:rPr>
        <w:t>.</w:t>
      </w:r>
    </w:p>
    <w:p w14:paraId="33687230" w14:textId="48F1774D" w:rsidR="00F74F7E" w:rsidRDefault="00F74F7E" w:rsidP="00917E59">
      <w:pPr>
        <w:rPr>
          <w:rFonts w:eastAsiaTheme="minorEastAsia"/>
        </w:rPr>
      </w:pPr>
    </w:p>
    <w:p w14:paraId="727A92F8" w14:textId="636537AA" w:rsidR="00F74F7E" w:rsidRDefault="00F74F7E" w:rsidP="00917E59">
      <w:pPr>
        <w:rPr>
          <w:rFonts w:eastAsiaTheme="minorEastAsia"/>
        </w:rPr>
      </w:pPr>
    </w:p>
    <w:p w14:paraId="4619D206" w14:textId="679B1482" w:rsidR="00F74F7E" w:rsidRDefault="00F74F7E" w:rsidP="00917E59">
      <w:pPr>
        <w:rPr>
          <w:rFonts w:eastAsiaTheme="minorEastAsia"/>
        </w:rPr>
      </w:pPr>
    </w:p>
    <w:p w14:paraId="436EA162" w14:textId="77777777" w:rsidR="00F74F7E" w:rsidRDefault="00F74F7E" w:rsidP="00917E59"/>
    <w:p w14:paraId="5803B272" w14:textId="05492C43" w:rsidR="00B138FD" w:rsidRDefault="00DD115F" w:rsidP="00DD115F">
      <w:pPr>
        <w:pStyle w:val="Heading1"/>
      </w:pPr>
      <w:r>
        <w:lastRenderedPageBreak/>
        <w:t>Section 4</w:t>
      </w:r>
    </w:p>
    <w:p w14:paraId="38C2A41E" w14:textId="3C8146B7" w:rsidR="002A0327" w:rsidRDefault="002A0327" w:rsidP="002A0327">
      <w:pPr>
        <w:pStyle w:val="Subtitle"/>
      </w:pPr>
      <w:r>
        <w:t xml:space="preserve">Required files: </w:t>
      </w:r>
      <w:r w:rsidR="00511167">
        <w:t>SVM</w:t>
      </w:r>
      <w:r w:rsidR="00DD283C">
        <w:t>_multiclass</w:t>
      </w:r>
      <w:r>
        <w:t>.py</w:t>
      </w:r>
    </w:p>
    <w:p w14:paraId="4DCC4FCF" w14:textId="24E9504B" w:rsidR="0054237E" w:rsidRDefault="003221C4" w:rsidP="00C12660">
      <w:r>
        <w:t xml:space="preserve">In One-Vs-Rest, we make use of </w:t>
      </w:r>
      <w:r w:rsidRPr="003221C4">
        <w:rPr>
          <w:i/>
          <w:iCs/>
        </w:rPr>
        <w:t>N</w:t>
      </w:r>
      <w:r>
        <w:rPr>
          <w:i/>
          <w:iCs/>
        </w:rPr>
        <w:t xml:space="preserve"> </w:t>
      </w:r>
      <w:r>
        <w:t xml:space="preserve">binary classifiers, </w:t>
      </w:r>
      <w:r w:rsidR="0054237E">
        <w:t xml:space="preserve">corresponding to each of the N labels. As the name suggest, we classify as label A or label ~A. We then compare the value across each of the N classifiers for a given </w:t>
      </w:r>
      <w:r w:rsidR="0054237E" w:rsidRPr="0054237E">
        <w:rPr>
          <w:i/>
          <w:iCs/>
        </w:rPr>
        <w:t>x</w:t>
      </w:r>
      <w:r w:rsidR="0054237E">
        <w:rPr>
          <w:i/>
          <w:iCs/>
        </w:rPr>
        <w:t>,</w:t>
      </w:r>
      <w:r w:rsidR="0054237E">
        <w:t xml:space="preserve"> and label it as the one with the greatest value.</w:t>
      </w:r>
    </w:p>
    <w:p w14:paraId="25BA0D63" w14:textId="2996646D" w:rsidR="008E55DC" w:rsidRPr="001D6C77" w:rsidRDefault="008E55DC" w:rsidP="00C12660">
      <w:r>
        <w:t xml:space="preserve">In One-Vs-One, we make use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binary classifiers, corresponding to each 2-label pair. </w:t>
      </w:r>
      <w:r w:rsidR="001D6C77">
        <w:rPr>
          <w:rFonts w:eastAsiaTheme="minorEastAsia"/>
        </w:rPr>
        <w:t xml:space="preserve">We then count the most repeated label and set it for the given </w:t>
      </w:r>
      <w:r w:rsidR="001D6C77" w:rsidRPr="001D6C77">
        <w:rPr>
          <w:rFonts w:eastAsiaTheme="minorEastAsia"/>
          <w:i/>
          <w:iCs/>
        </w:rPr>
        <w:t>x</w:t>
      </w:r>
      <w:r w:rsidR="001D6C77">
        <w:rPr>
          <w:rFonts w:eastAsiaTheme="minorEastAsia"/>
        </w:rPr>
        <w:t>. Ties between any two labels are resolved by calling the specific Trainer using both these labels, and selecting the one it outputs.</w:t>
      </w:r>
    </w:p>
    <w:p w14:paraId="452BB20A" w14:textId="13E00D71" w:rsidR="00F640B5" w:rsidRDefault="00D14720" w:rsidP="00A8273A">
      <w:r>
        <w:t>Error metric for multi-class classification is taken as average of sum of absolute deviation from expected value</w:t>
      </w:r>
      <w:r w:rsidR="00A66AD4">
        <w:t>.</w:t>
      </w:r>
    </w:p>
    <w:p w14:paraId="15706293" w14:textId="36065F32" w:rsidR="00684C65" w:rsidRDefault="00684C65" w:rsidP="00A8273A">
      <w:r>
        <w:t>Number of states = 10</w:t>
      </w:r>
      <w:r>
        <w:tab/>
        <w:t>(Labels 1 through 10)</w:t>
      </w:r>
    </w:p>
    <w:p w14:paraId="37BCBF40" w14:textId="5F01BB36" w:rsidR="00EA361B" w:rsidRPr="00EA361B" w:rsidRDefault="009848C0" w:rsidP="00A8273A">
      <w:pPr>
        <w:rPr>
          <w:rFonts w:eastAsiaTheme="minorEastAsia"/>
        </w:rPr>
      </w:pPr>
      <w:r>
        <w:t>(</w:t>
      </w:r>
      <w:r w:rsidRPr="009848C0">
        <w:rPr>
          <w:i/>
          <w:iCs/>
        </w:rPr>
        <w:t>Note:</w:t>
      </w:r>
      <w:r>
        <w:rPr>
          <w:i/>
          <w:iCs/>
        </w:rPr>
        <w:t xml:space="preserve"> </w:t>
      </w:r>
      <w:r>
        <w:t xml:space="preserve">Code is built on the assumption that labels are from 1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states</m:t>
            </m:r>
          </m:sub>
        </m:sSub>
      </m:oMath>
      <w:r>
        <w:rPr>
          <w:rFonts w:eastAsiaTheme="minorEastAsia"/>
        </w:rPr>
        <w:t>, if not a simple bijective mapping is sufficient to bring it to this state)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5C2BE9" w:rsidRPr="005C2BE9" w14:paraId="6CF5FEA7" w14:textId="77777777" w:rsidTr="00EA361B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C0BD" w14:textId="77777777" w:rsidR="005C2BE9" w:rsidRPr="005C2BE9" w:rsidRDefault="005C2BE9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B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F6B0" w14:textId="77777777" w:rsidR="005C2BE9" w:rsidRPr="005C2BE9" w:rsidRDefault="005C2BE9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B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AA95" w14:textId="77777777" w:rsidR="005C2BE9" w:rsidRPr="005C2BE9" w:rsidRDefault="005C2BE9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B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OVO</w:t>
            </w:r>
          </w:p>
        </w:tc>
      </w:tr>
      <w:tr w:rsidR="005C2BE9" w:rsidRPr="005C2BE9" w14:paraId="335BB846" w14:textId="77777777" w:rsidTr="00EA361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356B" w14:textId="77777777" w:rsidR="005C2BE9" w:rsidRPr="005C2BE9" w:rsidRDefault="005C2BE9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B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 =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2150" w14:textId="106907D7" w:rsidR="005C2BE9" w:rsidRPr="005C2BE9" w:rsidRDefault="006060D5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  <w:r w:rsidR="00BF5E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.358974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D2EE" w14:textId="14EE29FD" w:rsidR="005C2BE9" w:rsidRPr="005C2BE9" w:rsidRDefault="00BF5E70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1.051282</w:t>
            </w:r>
          </w:p>
        </w:tc>
      </w:tr>
      <w:tr w:rsidR="005C2BE9" w:rsidRPr="005C2BE9" w14:paraId="09B16014" w14:textId="77777777" w:rsidTr="00EA361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17AA" w14:textId="77777777" w:rsidR="005C2BE9" w:rsidRPr="005C2BE9" w:rsidRDefault="005C2BE9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B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 = 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C47A" w14:textId="4238CDE5" w:rsidR="005C2BE9" w:rsidRPr="005C2BE9" w:rsidRDefault="00BF5E70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4F7D" w14:textId="31FDD02C" w:rsidR="005C2BE9" w:rsidRPr="005C2BE9" w:rsidRDefault="00BF5E70" w:rsidP="005C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4.923077</w:t>
            </w:r>
          </w:p>
        </w:tc>
      </w:tr>
    </w:tbl>
    <w:p w14:paraId="6086CEE0" w14:textId="0A8421B9" w:rsidR="00FD73EA" w:rsidRDefault="00EA361B" w:rsidP="000E5A2C">
      <w:pPr>
        <w:jc w:val="center"/>
      </w:pPr>
      <w:r>
        <w:t>Error</w:t>
      </w:r>
    </w:p>
    <w:p w14:paraId="0A0E7A78" w14:textId="7C213BBB" w:rsidR="00860384" w:rsidRDefault="00860384" w:rsidP="00860384">
      <w:r>
        <w:t>Similar argument to section 3.2 holds for the error shown above, C = 1 is close to the optimal C</w:t>
      </w:r>
      <w:r w:rsidR="0088445C">
        <w:t>, and C = 0.1 is too small and this leads to misclassification.</w:t>
      </w:r>
    </w:p>
    <w:p w14:paraId="21FD77D6" w14:textId="2A005941" w:rsidR="00486EB6" w:rsidRDefault="006060D5" w:rsidP="00860384">
      <w:r>
        <w:t>Both C = 0.1 cases are extremely errored, with OVA classifying all as 0 or 10, and OVO classifying all as 10 (what it classifies as is implementation dependent,</w:t>
      </w:r>
      <w:r w:rsidR="003B1F88">
        <w:t xml:space="preserve"> and hence biased.</w:t>
      </w:r>
      <w:r>
        <w:t xml:space="preserve"> I have followed the normal counting hierarchy in all lists).</w:t>
      </w:r>
    </w:p>
    <w:p w14:paraId="6A6CCD34" w14:textId="17E66BD5" w:rsidR="00130FBB" w:rsidRDefault="00D00692" w:rsidP="00860384">
      <w:r>
        <w:t xml:space="preserve">Confusion matrices (Using </w:t>
      </w:r>
      <w:r w:rsidRPr="00DD4654">
        <w:rPr>
          <w:i/>
          <w:iCs/>
        </w:rPr>
        <w:t>matplotlib</w:t>
      </w:r>
      <w:r>
        <w:t>):</w:t>
      </w:r>
    </w:p>
    <w:p w14:paraId="1E2AB6A8" w14:textId="46F25DB6" w:rsidR="00B724D2" w:rsidRPr="00A92257" w:rsidRDefault="00295666" w:rsidP="00A92257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C0A2675" wp14:editId="52D4E4D9">
            <wp:extent cx="3240000" cy="2428385"/>
            <wp:effectExtent l="0" t="0" r="0" b="0"/>
            <wp:docPr id="1499423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38B4" w14:textId="306756E8" w:rsidR="00B724D2" w:rsidRDefault="00B724D2" w:rsidP="00B724D2">
      <w:pPr>
        <w:jc w:val="center"/>
      </w:pPr>
      <w:r>
        <w:t>C = 1 OVA</w:t>
      </w:r>
    </w:p>
    <w:p w14:paraId="5CC631AF" w14:textId="7E6DC686" w:rsidR="00B724D2" w:rsidRDefault="00295666" w:rsidP="00B724D2">
      <w:pPr>
        <w:jc w:val="center"/>
      </w:pPr>
      <w:r>
        <w:rPr>
          <w:noProof/>
        </w:rPr>
        <w:lastRenderedPageBreak/>
        <w:drawing>
          <wp:inline distT="0" distB="0" distL="0" distR="0" wp14:anchorId="574E3506" wp14:editId="5CD65223">
            <wp:extent cx="3240000" cy="2428385"/>
            <wp:effectExtent l="0" t="0" r="0" b="0"/>
            <wp:docPr id="459525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1B9E" w14:textId="0215CA07" w:rsidR="00B724D2" w:rsidRDefault="00B724D2" w:rsidP="00B724D2">
      <w:pPr>
        <w:jc w:val="center"/>
      </w:pPr>
      <w:r>
        <w:t>C = 0.1 OVA</w:t>
      </w:r>
    </w:p>
    <w:p w14:paraId="18F414E9" w14:textId="4BEE5599" w:rsidR="00B724D2" w:rsidRDefault="00295666" w:rsidP="00B724D2">
      <w:pPr>
        <w:jc w:val="center"/>
      </w:pPr>
      <w:r>
        <w:rPr>
          <w:noProof/>
        </w:rPr>
        <w:drawing>
          <wp:inline distT="0" distB="0" distL="0" distR="0" wp14:anchorId="7CE3CBA7" wp14:editId="231382B8">
            <wp:extent cx="3240000" cy="2428385"/>
            <wp:effectExtent l="0" t="0" r="0" b="0"/>
            <wp:docPr id="1172911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EC3B" w14:textId="0005A9C3" w:rsidR="00B724D2" w:rsidRDefault="00B724D2" w:rsidP="00B724D2">
      <w:pPr>
        <w:jc w:val="center"/>
      </w:pPr>
      <w:r>
        <w:t>C = 1 OVO</w:t>
      </w:r>
    </w:p>
    <w:p w14:paraId="744E47B9" w14:textId="084F9EB5" w:rsidR="00B724D2" w:rsidRDefault="00295666" w:rsidP="00B724D2">
      <w:pPr>
        <w:jc w:val="center"/>
      </w:pPr>
      <w:r>
        <w:rPr>
          <w:noProof/>
        </w:rPr>
        <w:drawing>
          <wp:inline distT="0" distB="0" distL="0" distR="0" wp14:anchorId="670952BD" wp14:editId="1ABFE176">
            <wp:extent cx="3240000" cy="2428385"/>
            <wp:effectExtent l="0" t="0" r="0" b="0"/>
            <wp:docPr id="1570109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B4D8" w14:textId="25E762F1" w:rsidR="00B724D2" w:rsidRDefault="00B724D2" w:rsidP="00B724D2">
      <w:pPr>
        <w:jc w:val="center"/>
      </w:pPr>
      <w:r>
        <w:t>C = 0.1 OVO</w:t>
      </w:r>
    </w:p>
    <w:p w14:paraId="06E6FBCD" w14:textId="637B98DB" w:rsidR="00E13299" w:rsidRDefault="00E13299" w:rsidP="00860384">
      <w:r>
        <w:t>OVA performs better than OVO, and will be used in the competitive part</w:t>
      </w:r>
      <w:r w:rsidR="00C926D8">
        <w:t xml:space="preserve"> with C = 1.</w:t>
      </w:r>
    </w:p>
    <w:p w14:paraId="4CE3E4C2" w14:textId="2E33A9DA" w:rsidR="0053645C" w:rsidRDefault="0053645C" w:rsidP="0053645C">
      <w:pPr>
        <w:pStyle w:val="Heading1"/>
      </w:pPr>
      <w:r>
        <w:lastRenderedPageBreak/>
        <w:t xml:space="preserve">Section </w:t>
      </w:r>
      <w:r w:rsidR="00BC600E">
        <w:t>5</w:t>
      </w:r>
    </w:p>
    <w:p w14:paraId="5DCBCC9A" w14:textId="4C9462BB" w:rsidR="0053645C" w:rsidRDefault="0053645C" w:rsidP="0053645C">
      <w:pPr>
        <w:pStyle w:val="Subtitle"/>
      </w:pPr>
      <w:r>
        <w:t>Required files: best.py</w:t>
      </w:r>
    </w:p>
    <w:p w14:paraId="739C737A" w14:textId="59E4F54A" w:rsidR="001D7034" w:rsidRDefault="001D7034" w:rsidP="00BB17DA">
      <w:pPr>
        <w:pStyle w:val="ListParagraph"/>
        <w:numPr>
          <w:ilvl w:val="0"/>
          <w:numId w:val="1"/>
        </w:numPr>
      </w:pPr>
      <w:r>
        <w:t xml:space="preserve">For </w:t>
      </w:r>
      <w:r w:rsidR="00BB17DA">
        <w:t>Two-class</w:t>
      </w:r>
      <w:r>
        <w:t>,</w:t>
      </w:r>
    </w:p>
    <w:p w14:paraId="350CE6A9" w14:textId="3B95D126" w:rsidR="001D7034" w:rsidRDefault="001D7034" w:rsidP="001D7034">
      <w:r>
        <w:t xml:space="preserve">Kernel </w:t>
      </w:r>
      <w:r w:rsidR="00BB17DA">
        <w:t>= Linear</w:t>
      </w:r>
    </w:p>
    <w:p w14:paraId="481B3F04" w14:textId="77777777" w:rsidR="001A54AF" w:rsidRDefault="001A54AF" w:rsidP="001A54AF">
      <w:r>
        <w:t>C = 1</w:t>
      </w:r>
    </w:p>
    <w:p w14:paraId="019E4F06" w14:textId="3B5507DB" w:rsidR="00D1477A" w:rsidRDefault="001A54AF" w:rsidP="00D1477A">
      <w:pPr>
        <w:pStyle w:val="ListParagraph"/>
        <w:numPr>
          <w:ilvl w:val="0"/>
          <w:numId w:val="1"/>
        </w:numPr>
      </w:pPr>
      <w:r>
        <w:t xml:space="preserve"> </w:t>
      </w:r>
      <w:r w:rsidR="00D1477A">
        <w:t>For Multi-class,</w:t>
      </w:r>
    </w:p>
    <w:p w14:paraId="36F61054" w14:textId="02C1C02F" w:rsidR="00570669" w:rsidRDefault="00570669" w:rsidP="00D1477A">
      <w:r>
        <w:t>One-Versus-All</w:t>
      </w:r>
    </w:p>
    <w:p w14:paraId="512E7062" w14:textId="1E9AFCA6" w:rsidR="00D1477A" w:rsidRDefault="00D1477A" w:rsidP="00D1477A">
      <w:r>
        <w:t xml:space="preserve">Kernel = </w:t>
      </w:r>
      <w:proofErr w:type="spellStart"/>
      <w:r>
        <w:t>rbf</w:t>
      </w:r>
      <w:proofErr w:type="spellEnd"/>
    </w:p>
    <w:p w14:paraId="3ADB1F08" w14:textId="47951DAA" w:rsidR="00391559" w:rsidRDefault="00391559" w:rsidP="00D1477A">
      <w:r>
        <w:t>C = 1</w:t>
      </w:r>
    </w:p>
    <w:p w14:paraId="3E9FEDD5" w14:textId="6038FF89" w:rsidR="00391559" w:rsidRDefault="008F6580" w:rsidP="00D1477A">
      <w:r>
        <w:t>Γ</w:t>
      </w:r>
      <w:r w:rsidR="00391559">
        <w:t xml:space="preserve"> = 0.1</w:t>
      </w:r>
    </w:p>
    <w:p w14:paraId="4C75B9A7" w14:textId="77777777" w:rsidR="00D1477A" w:rsidRPr="001D7034" w:rsidRDefault="00D1477A" w:rsidP="00D1477A"/>
    <w:p w14:paraId="2233E748" w14:textId="0117D1A4" w:rsidR="00420779" w:rsidRDefault="00215EF6" w:rsidP="00420779">
      <w:pPr>
        <w:pStyle w:val="Heading1"/>
      </w:pPr>
      <w:r>
        <w:t>Extra</w:t>
      </w:r>
    </w:p>
    <w:p w14:paraId="09D24212" w14:textId="15C9DFB5" w:rsidR="00420779" w:rsidRPr="00420779" w:rsidRDefault="00420779" w:rsidP="00420779">
      <w:pPr>
        <w:pStyle w:val="Subtitle"/>
      </w:pPr>
      <w:r>
        <w:t>QP Solvers</w:t>
      </w:r>
    </w:p>
    <w:p w14:paraId="4DFE4B09" w14:textId="4C007C43" w:rsidR="00FB36B7" w:rsidRPr="00516659" w:rsidRDefault="00F16B0D" w:rsidP="00516659">
      <w:r>
        <w:t xml:space="preserve">For all quadratic programming solvers, we have made use of </w:t>
      </w:r>
      <w:proofErr w:type="spellStart"/>
      <w:r w:rsidR="00F51B12" w:rsidRPr="00F51B12">
        <w:rPr>
          <w:i/>
          <w:iCs/>
        </w:rPr>
        <w:t>ecos</w:t>
      </w:r>
      <w:proofErr w:type="spellEnd"/>
      <w:r w:rsidR="00F51B12">
        <w:t>.</w:t>
      </w:r>
      <w:r w:rsidR="0058285A">
        <w:t xml:space="preserve"> </w:t>
      </w:r>
      <w:r>
        <w:t xml:space="preserve">However other solvers may perform </w:t>
      </w:r>
      <w:r w:rsidR="00CF7718">
        <w:t xml:space="preserve">better </w:t>
      </w:r>
      <w:r>
        <w:t>on our given dataset.</w:t>
      </w:r>
      <w:r w:rsidR="00097B13">
        <w:t xml:space="preserve"> On a loose observation</w:t>
      </w:r>
      <w:r w:rsidR="00516659">
        <w:t>, bi_train.csv is dense, and may perform better on dense algorithm solvers (</w:t>
      </w:r>
      <w:r w:rsidR="00516659" w:rsidRPr="00516659">
        <w:rPr>
          <w:i/>
          <w:iCs/>
        </w:rPr>
        <w:t>Ex</w:t>
      </w:r>
      <w:r w:rsidR="00516659">
        <w:t xml:space="preserve">: </w:t>
      </w:r>
      <w:proofErr w:type="spellStart"/>
      <w:r w:rsidR="00516659">
        <w:t>cvxopt</w:t>
      </w:r>
      <w:proofErr w:type="spellEnd"/>
      <w:r w:rsidR="00516659">
        <w:t xml:space="preserve">, </w:t>
      </w:r>
      <w:proofErr w:type="spellStart"/>
      <w:r w:rsidR="00516659">
        <w:t>proxqp</w:t>
      </w:r>
      <w:proofErr w:type="spellEnd"/>
      <w:r w:rsidR="00516659">
        <w:t xml:space="preserve">, </w:t>
      </w:r>
      <w:proofErr w:type="spellStart"/>
      <w:r w:rsidR="00516659">
        <w:t>qpoases</w:t>
      </w:r>
      <w:proofErr w:type="spellEnd"/>
      <w:r w:rsidR="00516659">
        <w:t xml:space="preserve">, </w:t>
      </w:r>
      <w:proofErr w:type="spellStart"/>
      <w:r w:rsidR="00516659">
        <w:t>quadprog</w:t>
      </w:r>
      <w:proofErr w:type="spellEnd"/>
      <w:r w:rsidR="00516659">
        <w:t xml:space="preserve"> and </w:t>
      </w:r>
      <w:proofErr w:type="spellStart"/>
      <w:proofErr w:type="gramStart"/>
      <w:r w:rsidR="00516659">
        <w:t>nppro</w:t>
      </w:r>
      <w:proofErr w:type="spellEnd"/>
      <w:r w:rsidR="00516659">
        <w:t>(</w:t>
      </w:r>
      <w:proofErr w:type="gramEnd"/>
      <w:r w:rsidR="00516659">
        <w:t xml:space="preserve">License-locked)). </w:t>
      </w:r>
      <w:r w:rsidR="0048715C">
        <w:t>However,</w:t>
      </w:r>
      <w:r w:rsidR="00516659">
        <w:t xml:space="preserve"> since none of these are included in the base installation of </w:t>
      </w:r>
      <w:proofErr w:type="spellStart"/>
      <w:r w:rsidR="00516659" w:rsidRPr="00516659">
        <w:rPr>
          <w:i/>
          <w:iCs/>
        </w:rPr>
        <w:t>qpsolvers</w:t>
      </w:r>
      <w:proofErr w:type="spellEnd"/>
      <w:r w:rsidR="00516659">
        <w:t>, use of it has been avoided.</w:t>
      </w:r>
    </w:p>
    <w:sectPr w:rsidR="00FB36B7" w:rsidRPr="0051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3A7C"/>
    <w:multiLevelType w:val="hybridMultilevel"/>
    <w:tmpl w:val="D7D0D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0A42"/>
    <w:multiLevelType w:val="hybridMultilevel"/>
    <w:tmpl w:val="0F0EF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6CB"/>
    <w:multiLevelType w:val="hybridMultilevel"/>
    <w:tmpl w:val="5D285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89802">
    <w:abstractNumId w:val="2"/>
  </w:num>
  <w:num w:numId="2" w16cid:durableId="484781071">
    <w:abstractNumId w:val="2"/>
  </w:num>
  <w:num w:numId="3" w16cid:durableId="695815537">
    <w:abstractNumId w:val="1"/>
  </w:num>
  <w:num w:numId="4" w16cid:durableId="47140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0"/>
    <w:rsid w:val="00003307"/>
    <w:rsid w:val="00030000"/>
    <w:rsid w:val="0003702A"/>
    <w:rsid w:val="00067F36"/>
    <w:rsid w:val="00094C72"/>
    <w:rsid w:val="00097B13"/>
    <w:rsid w:val="000B5DDA"/>
    <w:rsid w:val="000C0287"/>
    <w:rsid w:val="000C1970"/>
    <w:rsid w:val="000D012D"/>
    <w:rsid w:val="000E2D54"/>
    <w:rsid w:val="000E5A2C"/>
    <w:rsid w:val="000F4D6C"/>
    <w:rsid w:val="00102CE5"/>
    <w:rsid w:val="001052B7"/>
    <w:rsid w:val="00110F8B"/>
    <w:rsid w:val="001149E0"/>
    <w:rsid w:val="001164D6"/>
    <w:rsid w:val="00123130"/>
    <w:rsid w:val="00130FBB"/>
    <w:rsid w:val="0014173E"/>
    <w:rsid w:val="001604E2"/>
    <w:rsid w:val="00160964"/>
    <w:rsid w:val="001A54AF"/>
    <w:rsid w:val="001B07C1"/>
    <w:rsid w:val="001B63E6"/>
    <w:rsid w:val="001D5240"/>
    <w:rsid w:val="001D6C77"/>
    <w:rsid w:val="001D7034"/>
    <w:rsid w:val="001F22C0"/>
    <w:rsid w:val="001F4A82"/>
    <w:rsid w:val="001F5C4A"/>
    <w:rsid w:val="00215EF6"/>
    <w:rsid w:val="0021687E"/>
    <w:rsid w:val="00253A2F"/>
    <w:rsid w:val="00260AEC"/>
    <w:rsid w:val="002648CE"/>
    <w:rsid w:val="00276947"/>
    <w:rsid w:val="00276DBD"/>
    <w:rsid w:val="002835AE"/>
    <w:rsid w:val="002848B0"/>
    <w:rsid w:val="00295666"/>
    <w:rsid w:val="002A0327"/>
    <w:rsid w:val="002A36FE"/>
    <w:rsid w:val="002B2BF5"/>
    <w:rsid w:val="002C38EE"/>
    <w:rsid w:val="002C4851"/>
    <w:rsid w:val="002E76E1"/>
    <w:rsid w:val="0030630E"/>
    <w:rsid w:val="00316946"/>
    <w:rsid w:val="00321EB3"/>
    <w:rsid w:val="003221C4"/>
    <w:rsid w:val="003244FA"/>
    <w:rsid w:val="0033688B"/>
    <w:rsid w:val="00342CD2"/>
    <w:rsid w:val="00367B4F"/>
    <w:rsid w:val="00380CA7"/>
    <w:rsid w:val="00391559"/>
    <w:rsid w:val="00396E35"/>
    <w:rsid w:val="003A0685"/>
    <w:rsid w:val="003A46E5"/>
    <w:rsid w:val="003B1F88"/>
    <w:rsid w:val="003B277A"/>
    <w:rsid w:val="003D508C"/>
    <w:rsid w:val="00420779"/>
    <w:rsid w:val="00452235"/>
    <w:rsid w:val="00460157"/>
    <w:rsid w:val="00460799"/>
    <w:rsid w:val="00475177"/>
    <w:rsid w:val="00486EB6"/>
    <w:rsid w:val="0048715C"/>
    <w:rsid w:val="004D1CC2"/>
    <w:rsid w:val="004D3473"/>
    <w:rsid w:val="004E403A"/>
    <w:rsid w:val="004E7269"/>
    <w:rsid w:val="00507C85"/>
    <w:rsid w:val="00511167"/>
    <w:rsid w:val="005123B5"/>
    <w:rsid w:val="00516659"/>
    <w:rsid w:val="00520380"/>
    <w:rsid w:val="0053645C"/>
    <w:rsid w:val="0054237E"/>
    <w:rsid w:val="00551564"/>
    <w:rsid w:val="00570669"/>
    <w:rsid w:val="0057311E"/>
    <w:rsid w:val="005773C4"/>
    <w:rsid w:val="00580062"/>
    <w:rsid w:val="0058285A"/>
    <w:rsid w:val="005A592B"/>
    <w:rsid w:val="005C2BE9"/>
    <w:rsid w:val="005D3854"/>
    <w:rsid w:val="005E378F"/>
    <w:rsid w:val="005F5A33"/>
    <w:rsid w:val="00600A1C"/>
    <w:rsid w:val="006060D5"/>
    <w:rsid w:val="00642760"/>
    <w:rsid w:val="00650A8A"/>
    <w:rsid w:val="006573AC"/>
    <w:rsid w:val="00675DDA"/>
    <w:rsid w:val="00684C65"/>
    <w:rsid w:val="00686D05"/>
    <w:rsid w:val="00690A36"/>
    <w:rsid w:val="006A1776"/>
    <w:rsid w:val="006C0A87"/>
    <w:rsid w:val="006C5D46"/>
    <w:rsid w:val="006D1550"/>
    <w:rsid w:val="006F3D43"/>
    <w:rsid w:val="007053F7"/>
    <w:rsid w:val="007229B5"/>
    <w:rsid w:val="00731CA4"/>
    <w:rsid w:val="0073382A"/>
    <w:rsid w:val="00734C7F"/>
    <w:rsid w:val="0076730F"/>
    <w:rsid w:val="0078041A"/>
    <w:rsid w:val="007907C8"/>
    <w:rsid w:val="007A4443"/>
    <w:rsid w:val="007C1214"/>
    <w:rsid w:val="007E60F3"/>
    <w:rsid w:val="007F260A"/>
    <w:rsid w:val="007F2916"/>
    <w:rsid w:val="00805EF6"/>
    <w:rsid w:val="00822647"/>
    <w:rsid w:val="00852B38"/>
    <w:rsid w:val="00860384"/>
    <w:rsid w:val="0087107C"/>
    <w:rsid w:val="00873511"/>
    <w:rsid w:val="00876B54"/>
    <w:rsid w:val="00881446"/>
    <w:rsid w:val="0088445C"/>
    <w:rsid w:val="0088679F"/>
    <w:rsid w:val="008C15AD"/>
    <w:rsid w:val="008D7C62"/>
    <w:rsid w:val="008E55DC"/>
    <w:rsid w:val="008F2E03"/>
    <w:rsid w:val="008F6580"/>
    <w:rsid w:val="00917E59"/>
    <w:rsid w:val="00924743"/>
    <w:rsid w:val="00937FB8"/>
    <w:rsid w:val="00961965"/>
    <w:rsid w:val="00973242"/>
    <w:rsid w:val="009848C0"/>
    <w:rsid w:val="009A1388"/>
    <w:rsid w:val="009B0CC6"/>
    <w:rsid w:val="009F5165"/>
    <w:rsid w:val="00A01E83"/>
    <w:rsid w:val="00A0360A"/>
    <w:rsid w:val="00A07F21"/>
    <w:rsid w:val="00A14A1A"/>
    <w:rsid w:val="00A221A0"/>
    <w:rsid w:val="00A31F0A"/>
    <w:rsid w:val="00A43755"/>
    <w:rsid w:val="00A55540"/>
    <w:rsid w:val="00A618BC"/>
    <w:rsid w:val="00A66AD4"/>
    <w:rsid w:val="00A70A0D"/>
    <w:rsid w:val="00A71996"/>
    <w:rsid w:val="00A809AD"/>
    <w:rsid w:val="00A8273A"/>
    <w:rsid w:val="00A91B4E"/>
    <w:rsid w:val="00A92257"/>
    <w:rsid w:val="00AA598B"/>
    <w:rsid w:val="00AB2B00"/>
    <w:rsid w:val="00AD00DD"/>
    <w:rsid w:val="00AE2ABD"/>
    <w:rsid w:val="00AE3A61"/>
    <w:rsid w:val="00AF5B3E"/>
    <w:rsid w:val="00B0382C"/>
    <w:rsid w:val="00B138FD"/>
    <w:rsid w:val="00B13E31"/>
    <w:rsid w:val="00B21A74"/>
    <w:rsid w:val="00B410AF"/>
    <w:rsid w:val="00B462B6"/>
    <w:rsid w:val="00B46355"/>
    <w:rsid w:val="00B724D2"/>
    <w:rsid w:val="00B76440"/>
    <w:rsid w:val="00B7786A"/>
    <w:rsid w:val="00B77E98"/>
    <w:rsid w:val="00BB17DA"/>
    <w:rsid w:val="00BC25EE"/>
    <w:rsid w:val="00BC600E"/>
    <w:rsid w:val="00BC65EE"/>
    <w:rsid w:val="00BE07C8"/>
    <w:rsid w:val="00BF5E70"/>
    <w:rsid w:val="00BF7673"/>
    <w:rsid w:val="00C07B44"/>
    <w:rsid w:val="00C10DF5"/>
    <w:rsid w:val="00C12660"/>
    <w:rsid w:val="00C32C23"/>
    <w:rsid w:val="00C33306"/>
    <w:rsid w:val="00C66B4B"/>
    <w:rsid w:val="00C926D8"/>
    <w:rsid w:val="00CA2A6E"/>
    <w:rsid w:val="00CA2B2F"/>
    <w:rsid w:val="00CA4236"/>
    <w:rsid w:val="00CF7718"/>
    <w:rsid w:val="00D00692"/>
    <w:rsid w:val="00D038B9"/>
    <w:rsid w:val="00D14720"/>
    <w:rsid w:val="00D1477A"/>
    <w:rsid w:val="00D339F4"/>
    <w:rsid w:val="00D42066"/>
    <w:rsid w:val="00D94660"/>
    <w:rsid w:val="00D96BEE"/>
    <w:rsid w:val="00DA3F1B"/>
    <w:rsid w:val="00DC46D5"/>
    <w:rsid w:val="00DC60EF"/>
    <w:rsid w:val="00DD115F"/>
    <w:rsid w:val="00DD283C"/>
    <w:rsid w:val="00DD4654"/>
    <w:rsid w:val="00DE416B"/>
    <w:rsid w:val="00DE6E44"/>
    <w:rsid w:val="00E1217B"/>
    <w:rsid w:val="00E13299"/>
    <w:rsid w:val="00E207C1"/>
    <w:rsid w:val="00E265D6"/>
    <w:rsid w:val="00E31E61"/>
    <w:rsid w:val="00E9799E"/>
    <w:rsid w:val="00EA361B"/>
    <w:rsid w:val="00ED3532"/>
    <w:rsid w:val="00ED4F98"/>
    <w:rsid w:val="00EF66EA"/>
    <w:rsid w:val="00EF72C1"/>
    <w:rsid w:val="00F16B0D"/>
    <w:rsid w:val="00F22181"/>
    <w:rsid w:val="00F40A71"/>
    <w:rsid w:val="00F50110"/>
    <w:rsid w:val="00F51B12"/>
    <w:rsid w:val="00F640B5"/>
    <w:rsid w:val="00F74F7E"/>
    <w:rsid w:val="00F918B2"/>
    <w:rsid w:val="00F93824"/>
    <w:rsid w:val="00FB36B7"/>
    <w:rsid w:val="00FD4A11"/>
    <w:rsid w:val="00FD73EA"/>
    <w:rsid w:val="00FE1E76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A955"/>
  <w15:chartTrackingRefBased/>
  <w15:docId w15:val="{B8B54065-FD24-42AD-944F-00C03DC4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44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443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A8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3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94C7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Kandoi</dc:creator>
  <cp:keywords/>
  <dc:description/>
  <cp:lastModifiedBy>Saket Kandoi</cp:lastModifiedBy>
  <cp:revision>243</cp:revision>
  <dcterms:created xsi:type="dcterms:W3CDTF">2023-03-27T15:03:00Z</dcterms:created>
  <dcterms:modified xsi:type="dcterms:W3CDTF">2023-03-30T15:52:00Z</dcterms:modified>
</cp:coreProperties>
</file>