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Zero Trust enterprise security, OCI IAM database environment isolation, and SAML 2.0 / Azure AD federated SSO, modular Infrastructure as Code (Terraform) driving ~60% reduction in deployment lifecycle and eliminating configuration drift, mission-critical on-prem to OCI cloud migrations (ExaCS, Autonomous DB, and Oracle RAC high availability).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