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enterprise Kubernetes (OKE) platform engineering (private clusters, FSS persistent storage, RBAC governance, and ingress architecture), Zero Trust enterprise security, OCI IAM database environment isolation, and SAML 2.0 / Azure AD federated SSO, modular Infrastructure as Code (Terraform) driving ~60% reduction in deployment lifecycle and eliminating configuration drift.</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