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Zero Trust enterprise security, OCI IAM database environment isolation, and SAML 2.0 / Azure AD federated SSO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