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AI-driven operations and GenAI platform engineering (Model Context Protocol [MCP], LangChain, air-gapped ChatOps, and local LLMs), Zero Trust enterprise security, OCI IAM database environment isolation, and SAML 2.0 / Azure AD federated SSO, mission-critical on-prem to OCI cloud migrations (ExaCS, Autonomous DB, and Oracle RAC high availability).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