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mission-critical on-prem to OCI cloud migrations (ExaCS, Autonomous DB, and Oracle RAC high availability).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