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0F172A"/>
          <w:sz w:val="40"/>
        </w:rPr>
        <w:t>Saket Saurav</w:t>
      </w:r>
    </w:p>
    <w:p>
      <w:pPr>
        <w:spacing w:after="60"/>
        <w:jc w:val="center"/>
      </w:pPr>
      <w:r>
        <w:rPr>
          <w:rFonts w:ascii="Calibri" w:hAnsi="Calibri"/>
          <w:b/>
          <w:color w:val="334155"/>
          <w:sz w:val="22"/>
        </w:rPr>
        <w:t>Principal Cloud Engineer | Cloud &amp; AI Architecture | Multi-Cloud &amp; OKE</w:t>
      </w:r>
    </w:p>
    <w:p>
      <w:pPr>
        <w:spacing w:after="240"/>
        <w:jc w:val="center"/>
      </w:pPr>
      <w:r>
        <w:rPr>
          <w:rFonts w:ascii="Calibri" w:hAnsi="Calibri"/>
          <w:color w:val="475569"/>
          <w:sz w:val="19"/>
        </w:rPr>
        <w:t>sauravskt8@gmail.com  |  +91-7028481800  |  Noida, India  |  12.0+ Years Enterprise Experience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SUMMARY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Distinguished Principal Cloud Engineer with 12+ years of enterprise IT engineering excellence, including 6.5+ years of deep specialization in Oracle Cloud Infrastructure (OCI) and Multi-Cloud architectures (Azure, AWS, GCP). Proven architectural track record designing, migrating, and operating mission-critical, telecom-grade cloud estates and regulated air-gapped environments for global enterprises. Specialized in enterprise Kubernetes (OKE) platform engineering (private clusters, FSS persistent storage, RBAC governance, and ingress architecture), modular Infrastructure as Code (Terraform) driving ~60% reduction in deployment lifecycle and eliminating configuration drift.</w:t>
      </w:r>
    </w:p>
    <w:p>
      <w:pPr>
        <w:spacing w:after="80" w:line="276" w:lineRule="auto"/>
      </w:pPr>
      <w:r>
        <w:rPr>
          <w:rFonts w:ascii="Calibri" w:hAnsi="Calibri"/>
          <w:sz w:val="19"/>
        </w:rPr>
        <w:t>Recognized for bridging strategic enterprise architecture, cloud-native scalability, zero-trust security, and AI-powered operational autonomy. Hands-on leader with extensive delivery across private OKE cluster topologies, modular Terraform IaC automation, GenAI CloudOps dashboards, and enterprise database modernization (Exadata, Autonomous Database). Accomplished in directing cross-functional engineering teams, authoring technical decision records (TDRs), and establishing organizational landing zone governance.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CORE COMPETENCIES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Infrastructure as Code &amp; DevOps: </w:t>
      </w:r>
      <w:r>
        <w:rPr>
          <w:rFonts w:ascii="Calibri" w:hAnsi="Calibri"/>
          <w:sz w:val="19"/>
        </w:rPr>
        <w:t>Terraform (Reusable Modular Blueprints), Ansible, OCI Resource Manager, OCI CLI, Bash Scripting, OCI DevOps, Git, GitHub Actions, Automated CI/CD Pipelines, Multi-Environment Release Governance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Container &amp; Cloud-Native Platforms: </w:t>
      </w:r>
      <w:r>
        <w:rPr>
          <w:rFonts w:ascii="Calibri" w:hAnsi="Calibri"/>
          <w:sz w:val="19"/>
        </w:rPr>
        <w:t>Kubernetes (OKE), Docker, Helm, Private OKE Clusters, FSS Persistent Storage (StorageClass, PV, PVC), Layered Security &amp; RBAC, Application Load Balancers (ALB/NLB), API Gateway Ingress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Enterprise Cloud Architecture: </w:t>
      </w:r>
      <w:r>
        <w:rPr>
          <w:rFonts w:ascii="Calibri" w:hAnsi="Calibri"/>
          <w:sz w:val="19"/>
        </w:rPr>
        <w:t>Oracle Cloud Infrastructure (OCI - Primary), Multi-Cloud (Azure, AWS, GCP), Landing Zones, VCN Hub-and-Spoke, DRG, FastConnect, Private DNS, Network Firewalls (Palo Alto VM-Series), High Availability &amp; DR Topology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Databases &amp; Mission-Critical Data: </w:t>
      </w:r>
      <w:r>
        <w:rPr>
          <w:rFonts w:ascii="Calibri" w:hAnsi="Calibri"/>
          <w:sz w:val="19"/>
        </w:rPr>
        <w:t>Oracle Database 19c/12c/11g, Oracle RAC (Real Application Clusters), Exadata Database Service (ExaCS), Autonomous Data Warehouse (ADW), Autonomous DB (ADB), Data Guard, RMAN Backup &amp; Recovery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AI &amp; GenAI Platform Engineering: </w:t>
      </w:r>
      <w:r>
        <w:rPr>
          <w:rFonts w:ascii="Calibri" w:hAnsi="Calibri"/>
          <w:sz w:val="19"/>
        </w:rPr>
        <w:t>LangChain, LangGraph, Local LLMs, Model Context Protocol (MCP) Servers, Agentic AI Frameworks, RAG Architecture, GenAI CloudOps Dashboard, Offline ChatOps CLI, ODAOS (Autonomous DB Ops)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Zero Trust Security &amp; Identity: </w:t>
      </w:r>
      <w:r>
        <w:rPr>
          <w:rFonts w:ascii="Calibri" w:hAnsi="Calibri"/>
          <w:sz w:val="19"/>
        </w:rPr>
        <w:t>OCI IAM Identity Domains, Azure Active Directory / Microsoft Entra ID Federation, SAML 2.0 / SSO, SCIM Provisioning, Okta Integration, Linux PAM Hardening, OCI IAM Database Environment Isolation, Confidential Applications</w:t>
      </w:r>
    </w:p>
    <w:p>
      <w:pPr>
        <w:pStyle w:val="ListBullet"/>
        <w:spacing w:after="50"/>
      </w:pPr>
      <w:r>
        <w:rPr>
          <w:rFonts w:ascii="Calibri" w:hAnsi="Calibri"/>
          <w:b/>
          <w:sz w:val="19"/>
        </w:rPr>
        <w:t xml:space="preserve">Observability, SRE &amp; Governance: </w:t>
      </w:r>
      <w:r>
        <w:rPr>
          <w:rFonts w:ascii="Calibri" w:hAnsi="Calibri"/>
          <w:sz w:val="19"/>
        </w:rPr>
        <w:t>Prometheus, Grafana, Splunk, Datadog, OCI Logging Analytics, Service Connector Hub, ONS Alerting, Multi-Cloud Cost Governance (Cloudability), Capacity Planning &amp; Performance Tuning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PROFESSIONAL EXPERIENCE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Principal Cloud Engineer (OCI) / Manager-Projects  |  Cognizant (Client: KPN (Netherlands))    [2024-11 – 2026-07]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Landing Zones: </w:t>
      </w:r>
      <w:r>
        <w:rPr>
          <w:rFonts w:ascii="Calibri" w:hAnsi="Calibri"/>
          <w:sz w:val="19"/>
        </w:rPr>
        <w:t>Owned the architecture of a production-grade, air-gapped Oracle Cloud Infrastructure (OCI) environment for telecom billing platforms (DBSS Revenue Management / BRM modernization), defining landing zone, network domains, connectivity model, and isolation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Cloud Architecture &amp; Governance: </w:t>
      </w:r>
      <w:r>
        <w:rPr>
          <w:rFonts w:ascii="Calibri" w:hAnsi="Calibri"/>
          <w:sz w:val="19"/>
        </w:rPr>
        <w:t>Produced architecture design documents, technical decision records (TDRs), and operational runbooks covering network topology, platform dependencies, environment patterns, and support procedures, improving implementation clarity and governance traceability.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Network &amp; Trust Architecture: </w:t>
      </w:r>
      <w:r>
        <w:rPr>
          <w:rFonts w:ascii="Calibri" w:hAnsi="Calibri"/>
          <w:sz w:val="19"/>
        </w:rPr>
        <w:t>Defined segmentation and trust architecture across OKE, database, storage, bastion, and shared services tiers, establishing private DNS and service discovery across hub-and-spoke VCNs using delegated zones and environment-specific namespace separation.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Kubernetes (OKE) Engineering: </w:t>
      </w:r>
      <w:r>
        <w:rPr>
          <w:rFonts w:ascii="Calibri" w:hAnsi="Calibri"/>
          <w:sz w:val="19"/>
        </w:rPr>
        <w:t>Provisioned and managed production private OKE clusters enforcing layered security, blast-radius containment, and network policies, resolving complex OKE operational issues and reducing platform incidents by ~40%.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Stateful Storage &amp; Ingress: </w:t>
      </w:r>
      <w:r>
        <w:rPr>
          <w:rFonts w:ascii="Calibri" w:hAnsi="Calibri"/>
          <w:sz w:val="19"/>
        </w:rPr>
        <w:t>Engineered OCI FSS-backed persistent storage (StorageClass, PV, PVC) for stateful telecom billing workloads; configured ALB/NLBs and API Gateways with DNS-based routing and enterprise TLS for secure, scalable external ingress.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Cluster Security &amp; RBAC: </w:t>
      </w:r>
      <w:r>
        <w:rPr>
          <w:rFonts w:ascii="Calibri" w:hAnsi="Calibri"/>
          <w:sz w:val="19"/>
        </w:rPr>
        <w:t>Implemented Kubernetes-native RBAC and authentication model in the absence of external identity providers, achieving secure multi-tenant access control entirely within cluster boundaries.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Infrastructure as Code: </w:t>
      </w:r>
      <w:r>
        <w:rPr>
          <w:rFonts w:ascii="Calibri" w:hAnsi="Calibri"/>
          <w:sz w:val="19"/>
        </w:rPr>
        <w:t>Automated end-to-end OCI infrastructure provisioning using modular Terraform (networking, compute, OKE clusters, FSS storage), reducing deployment time by ~60% and eliminating configuration drift across environments.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Governance &amp; CI/CD: </w:t>
      </w:r>
      <w:r>
        <w:rPr>
          <w:rFonts w:ascii="Calibri" w:hAnsi="Calibri"/>
          <w:sz w:val="19"/>
        </w:rPr>
        <w:t>Developed robust OCI CLI / Bash automation for bulk resource tagging and compliance governance across hundreds of OCI resources; engineered CI/CD pipelines integrating OCI DevOps for automated deployments.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AI-Driven Operations (GenAI CloudOps): </w:t>
      </w:r>
      <w:r>
        <w:rPr>
          <w:rFonts w:ascii="Calibri" w:hAnsi="Calibri"/>
          <w:sz w:val="19"/>
        </w:rPr>
        <w:t>Architected and delivered a GenAI-powered CloudOps Dashboard integrating OCI Monitoring, cost analysis, security insights, and automated remediation workflows, pioneering AI-driven operations for KPN's cloud estate.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Air-Gapped ChatOps &amp; Local LLMs: </w:t>
      </w:r>
      <w:r>
        <w:rPr>
          <w:rFonts w:ascii="Calibri" w:hAnsi="Calibri"/>
          <w:sz w:val="19"/>
        </w:rPr>
        <w:t>Developed an offline ChatOps CLI using LangChain and local LLMs for secure AI-assisted diagnostics in air-gapped OCI environments, enabling intelligent incident triaging without internet dependency.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Autonomous DB Operations (ODAOS): </w:t>
      </w:r>
      <w:r>
        <w:rPr>
          <w:rFonts w:ascii="Calibri" w:hAnsi="Calibri"/>
          <w:sz w:val="19"/>
        </w:rPr>
        <w:t>Spearheaded ODAOS (Oracle Database Autonomous Operations System) implementation, automating complex database operations and reducing manual DBA intervention by ~50%.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Model Context Protocol (MCP) &amp; AI Tooling: </w:t>
      </w:r>
      <w:r>
        <w:rPr>
          <w:rFonts w:ascii="Calibri" w:hAnsi="Calibri"/>
          <w:sz w:val="19"/>
        </w:rPr>
        <w:t>Modernized API integrations by migrating legacy frameworks to next-generation AI models via Model Context Protocol (MCP) servers, leveraging Cursor IDE for accelerated cloud development.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Security, IAM &amp; Zero Trust: </w:t>
      </w:r>
      <w:r>
        <w:rPr>
          <w:rFonts w:ascii="Calibri" w:hAnsi="Calibri"/>
          <w:sz w:val="19"/>
        </w:rPr>
        <w:t>Designed and executed a successful POC for OCI IAM Database Environment Isolation, hardening non-production environments and establishing a blueprint adopted for production rollout.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Federation &amp; SAML: </w:t>
      </w:r>
      <w:r>
        <w:rPr>
          <w:rFonts w:ascii="Calibri" w:hAnsi="Calibri"/>
          <w:sz w:val="19"/>
        </w:rPr>
        <w:t>Implemented federated identity integration between OCI and KPN enterprise IAM (Azure Active Directory) using SAML-based SSO; automated OS-level PAM configuration to enforce strict access controls; designed confidential application patterns in OCI IAM.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Leadership &amp; Stakeholder Mentorship: </w:t>
      </w:r>
      <w:r>
        <w:rPr>
          <w:rFonts w:ascii="Calibri" w:hAnsi="Calibri"/>
          <w:sz w:val="19"/>
        </w:rPr>
        <w:t>Mentored and supervised junior cloud engineers, setting structured growth goals; collaborated directly with cross-functional stakeholders (identity, network, security, PMO) to align cloud architecture with business requirements.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OCI Cloud Administrator  |  Emerson (EITS)    [2018-06 – 2024-11]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Cloud Migration: </w:t>
      </w:r>
      <w:r>
        <w:rPr>
          <w:rFonts w:ascii="Calibri" w:hAnsi="Calibri"/>
          <w:sz w:val="19"/>
        </w:rPr>
        <w:t>Defined and executed cloud migration strategy from on-premises to OCI (ExaCS and IaaS), architecting VCNs, DRGs, Palo Alto VM-Series Firewalls, and IPSec VPN for secure hybrid connectivity supporting Emerson's global business.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Hub-and-Spoke Networking: </w:t>
      </w:r>
      <w:r>
        <w:rPr>
          <w:rFonts w:ascii="Calibri" w:hAnsi="Calibri"/>
          <w:sz w:val="19"/>
        </w:rPr>
        <w:t>Architected hub-and-spoke OCI network topology with NLBs, Application LBs, Network Firewalls, and cross-region/cross-tenancy connectivity solutions supporting enterprise workload migration.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Enterprise IAM Governance: </w:t>
      </w:r>
      <w:r>
        <w:rPr>
          <w:rFonts w:ascii="Calibri" w:hAnsi="Calibri"/>
          <w:sz w:val="19"/>
        </w:rPr>
        <w:t>Implemented enterprise IAM governance integrating Okta and Azure AD with OCI Identity Domain for SSO and SCIM provisioning, enforcing strict least-privilege control policies.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Core Infrastructure Provisioning: </w:t>
      </w:r>
      <w:r>
        <w:rPr>
          <w:rFonts w:ascii="Calibri" w:hAnsi="Calibri"/>
          <w:sz w:val="19"/>
        </w:rPr>
        <w:t>Led provisioning, configuration, and capacity scaling of OCI services: Compute, ExaDB, ADW, OAC, Linux VMs, Object Storage, and Block Volumes based on business demands.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Centralized Logging &amp; Observability: </w:t>
      </w:r>
      <w:r>
        <w:rPr>
          <w:rFonts w:ascii="Calibri" w:hAnsi="Calibri"/>
          <w:sz w:val="19"/>
        </w:rPr>
        <w:t>Implemented centralized logging architecture using OCI Logging Service and Splunk; integrated Datadog, Cloudability, and Infoblox for multi-cloud observability and cost governance across OCI and GCP.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IaC Automation: </w:t>
      </w:r>
      <w:r>
        <w:rPr>
          <w:rFonts w:ascii="Calibri" w:hAnsi="Calibri"/>
          <w:sz w:val="19"/>
        </w:rPr>
        <w:t>Utilized Terraform and OCI Resource Manager for Infrastructure-as-Code deployments, driving infrastructure repeatability and eliminating manual provisioning overhead.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Disaster Recovery &amp; SRE: </w:t>
      </w:r>
      <w:r>
        <w:rPr>
          <w:rFonts w:ascii="Calibri" w:hAnsi="Calibri"/>
          <w:sz w:val="19"/>
        </w:rPr>
        <w:t>Developed and maintained DR runbooks, network architecture diagrams, and OCI configuration documentation, ensuring operational readiness, high availability, and knowledge continuity.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Performance &amp; Capacity Tuning: </w:t>
      </w:r>
      <w:r>
        <w:rPr>
          <w:rFonts w:ascii="Calibri" w:hAnsi="Calibri"/>
          <w:sz w:val="19"/>
        </w:rPr>
        <w:t>Monitored OCI environments using Prometheus and Grafana, performing proactive capacity planning and performance tuning to optimize resource utilization and cloud cost efficiency.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DB 19c/12c, RAC, and Exadata (on-premise and cloud), managing high-availability backup/recovery (RMAN), Data Guard, patching, cloning, and production upgrades.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ITC Infotech    [2016-11 – 2018-06]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Database Administration: </w:t>
      </w:r>
      <w:r>
        <w:rPr>
          <w:rFonts w:ascii="Calibri" w:hAnsi="Calibri"/>
          <w:sz w:val="19"/>
        </w:rPr>
        <w:t>Administered Oracle Database 12c/11g production environments, managing proactive performance tuning, RMAN backup &amp; recovery, patching, and cloning for enterprise mission-critical systems.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BI &amp; Data Integration: </w:t>
      </w:r>
      <w:r>
        <w:rPr>
          <w:rFonts w:ascii="Calibri" w:hAnsi="Calibri"/>
          <w:sz w:val="19"/>
        </w:rPr>
        <w:t>Supported Oracle Business Intelligence (OBIEE) and Oracle Data Integrator (ODI) platforms, including deployment, configuration, pipeline orchestration, and troubleshooting.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Middleware Administration: </w:t>
      </w:r>
      <w:r>
        <w:rPr>
          <w:rFonts w:ascii="Calibri" w:hAnsi="Calibri"/>
          <w:sz w:val="19"/>
        </w:rPr>
        <w:t>Managed Oracle WebLogic Server administration for middleware hosting of BI and enterprise analytics applications.</w:t>
      </w:r>
    </w:p>
    <w:p>
      <w:pPr>
        <w:spacing w:before="160" w:after="60"/>
      </w:pPr>
      <w:r>
        <w:rPr>
          <w:rFonts w:ascii="Calibri" w:hAnsi="Calibri"/>
          <w:b/>
          <w:color w:val="0F172A"/>
          <w:sz w:val="21"/>
        </w:rPr>
        <w:t>Oracle DBA / BI Administrator  |  Tech Mahindra    [2014-01 – 2016-10]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Production DBA &amp; RAC: </w:t>
      </w:r>
      <w:r>
        <w:rPr>
          <w:rFonts w:ascii="Calibri" w:hAnsi="Calibri"/>
          <w:sz w:val="19"/>
        </w:rPr>
        <w:t>Delivered comprehensive Oracle DBA services for production and DR environments, including Oracle RAC administration, Data Guard configuration, performance tuning, and space management.</w:t>
      </w:r>
    </w:p>
    <w:p>
      <w:pPr>
        <w:pStyle w:val="ListBullet"/>
        <w:spacing w:after="50" w:line="276" w:lineRule="auto"/>
      </w:pPr>
      <w:r>
        <w:rPr>
          <w:rFonts w:ascii="Calibri" w:hAnsi="Calibri"/>
          <w:b/>
          <w:sz w:val="19"/>
        </w:rPr>
        <w:t xml:space="preserve">Analytics &amp; Data Pipelines: </w:t>
      </w:r>
      <w:r>
        <w:rPr>
          <w:rFonts w:ascii="Calibri" w:hAnsi="Calibri"/>
          <w:sz w:val="19"/>
        </w:rPr>
        <w:t>Supported Oracle Analytics Server (OAS/OBIEE) deployments and managed large-scale data migration workflows using DB links, Export/Import, and ODI pipelines.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CERTIFICATIONS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Architect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DevOps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Generative AI Professional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Architect Associate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Generative AI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pStyle w:val="ListBullet"/>
        <w:spacing w:after="40"/>
      </w:pPr>
      <w:r>
        <w:rPr>
          <w:rFonts w:ascii="Calibri" w:hAnsi="Calibri"/>
          <w:b/>
          <w:sz w:val="19"/>
        </w:rPr>
        <w:t>Oracle Cloud Infrastructure Certified Autonomous Database Architect</w:t>
      </w:r>
      <w:r>
        <w:rPr>
          <w:rFonts w:ascii="Calibri" w:hAnsi="Calibri"/>
          <w:sz w:val="19"/>
        </w:rPr>
        <w:t xml:space="preserve"> — Oracle (2026)</w:t>
      </w:r>
    </w:p>
    <w:p>
      <w:pPr>
        <w:spacing w:before="200" w:after="80"/>
      </w:pPr>
      <w:r>
        <w:rPr>
          <w:rFonts w:ascii="Calibri" w:hAnsi="Calibri"/>
          <w:b/>
          <w:color w:val="0F172A"/>
          <w:sz w:val="24"/>
        </w:rPr>
        <w:t>EDUCATION</w:t>
      </w:r>
    </w:p>
    <w:p>
      <w:pPr>
        <w:spacing w:after="80"/>
      </w:pPr>
      <w:r>
        <w:rPr>
          <w:rFonts w:ascii="Calibri" w:hAnsi="Calibri"/>
          <w:b/>
          <w:sz w:val="19"/>
        </w:rPr>
        <w:t>Bachelor of Technology (B.Tech) in Electronics &amp; Communication Engineering</w:t>
      </w:r>
      <w:r>
        <w:rPr>
          <w:rFonts w:ascii="Calibri" w:hAnsi="Calibri"/>
          <w:sz w:val="19"/>
        </w:rPr>
        <w:t xml:space="preserve">  |  Suresh Gyan Vihar University, Jaipur (70%)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