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Zero Trust enterprise security, OCI IAM database environment isolation, and SAML 2.0 / Azure AD federated SSO,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