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enterprise Kubernetes (OKE) platform engineering (private clusters, FSS persistent storage, RBAC governance, and ingress architecture), modular Infrastructure as Code (Terraform) driving ~60% reduction in deployment lifecycle and eliminating configuration drift, mission-critical on-prem to OCI cloud migrations (ExaCS, Autonomous DB, and Oracle RAC high availability).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