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Zero Trust enterprise security, OCI IAM database environment isolation, and SAML 2.0 / Azure AD federated SSO, modular Infrastructure as Code (Terraform) driving ~60% reduction in deployment lifecycle and eliminating configuration drift,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