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Stochastic Derivatives Quant Lab - Concept &amp; Graph Explanations</w:t>
      </w:r>
    </w:p>
    <w:p>
      <w:pPr>
        <w:pStyle w:val="Heading2"/>
      </w:pPr>
      <w:r>
        <w:t>1. Black–Scholes Model</w:t>
      </w:r>
    </w:p>
    <w:p>
      <w:r>
        <w:t>The Black–Scholes model is an analytical formula used to price European call options. It assumes geometric Brownian motion for stock prices and constant volatility.</w:t>
      </w:r>
    </w:p>
    <w:p>
      <w:r>
        <w:t>Formula: C = S·N(d1) − K·e^(−rT)·N(d2)</w:t>
      </w:r>
    </w:p>
    <w:p>
      <w:r>
        <w:t>S = Spot price</w:t>
        <w:br/>
        <w:t>K = Strike price</w:t>
        <w:br/>
        <w:t>T = Time to maturity (years)</w:t>
        <w:br/>
        <w:t>r = Risk-free interest rate</w:t>
        <w:br/>
        <w:t>σ = Volatility</w:t>
        <w:br/>
        <w:t>N(.) = Standard normal cumulative distribution</w:t>
        <w:br/>
        <w:t>d1 and d2 measure risk-adjusted distance to strike.</w:t>
      </w:r>
    </w:p>
    <w:p>
      <w:pPr>
        <w:pStyle w:val="Heading2"/>
      </w:pPr>
      <w:r>
        <w:t>2. Monte Carlo Simulation</w:t>
      </w:r>
    </w:p>
    <w:p>
      <w:r>
        <w:t>Monte Carlo simulation estimates option price numerically by simulating many possible future stock paths.</w:t>
      </w:r>
    </w:p>
    <w:p>
      <w:r>
        <w:t>Stock evolution: S_T = S_0 · exp((r − σ²/2)T + σ√T Z)</w:t>
      </w:r>
    </w:p>
    <w:p>
      <w:r>
        <w:t>Z is a standard normal random variable.</w:t>
        <w:br/>
        <w:t>Option price = discounted average payoff across simulations.</w:t>
      </w:r>
    </w:p>
    <w:p>
      <w:pPr>
        <w:pStyle w:val="Heading2"/>
      </w:pPr>
      <w:r>
        <w:t>3. Implied Volatility Surface</w:t>
      </w:r>
    </w:p>
    <w:p>
      <w:r>
        <w:t>Implied volatility is the volatility that makes the model price equal to the market price.</w:t>
        <w:br/>
        <w:t>3D Surface axes:</w:t>
        <w:br/>
        <w:t>X: Strike</w:t>
        <w:br/>
        <w:t>Y: Time to maturity</w:t>
        <w:br/>
        <w:t>Z: Implied volatility</w:t>
        <w:br/>
        <w:t>This reveals skew and term structure patterns.</w:t>
      </w:r>
    </w:p>
    <w:p>
      <w:pPr>
        <w:pStyle w:val="Heading2"/>
      </w:pPr>
      <w:r>
        <w:t>4. Greeks (Sensitivities)</w:t>
      </w:r>
    </w:p>
    <w:p>
      <w:r>
        <w:t>Delta: Sensitivity to spot price.</w:t>
        <w:br/>
        <w:t>Gamma: Curvature with respect to spot.</w:t>
        <w:br/>
        <w:t>Vega: Sensitivity to volatility.</w:t>
        <w:br/>
        <w:t>Greeks surfaces visualize how sensitivities vary across parameters.</w:t>
      </w:r>
    </w:p>
    <w:p>
      <w:pPr>
        <w:pStyle w:val="Heading2"/>
      </w:pPr>
      <w:r>
        <w:t>5. Calibration Loss Surface</w:t>
      </w:r>
    </w:p>
    <w:p>
      <w:r>
        <w:t>Loss function: L(σ, r) = (C_model − C_market)^2</w:t>
        <w:br/>
        <w:t>3D surface shows optimization landscape across volatility and interest rate.</w:t>
      </w:r>
    </w:p>
    <w:p>
      <w:pPr>
        <w:pStyle w:val="Heading2"/>
      </w:pPr>
      <w:r>
        <w:t>6. Gradient Descent</w:t>
      </w:r>
    </w:p>
    <w:p>
      <w:r>
        <w:t>Parameters updated iteratively: θ ← θ − α∇L</w:t>
        <w:br/>
        <w:t>Shows convergence toward minimum of loss surface.</w:t>
      </w:r>
    </w:p>
    <w:p>
      <w:pPr>
        <w:pStyle w:val="Heading2"/>
      </w:pPr>
      <w:r>
        <w:t>7. Hessian &amp; Curvature</w:t>
      </w:r>
    </w:p>
    <w:p>
      <w:r>
        <w:t>Hessian matrix contains second derivatives of the loss.</w:t>
        <w:br/>
        <w:t>Eigenvalues indicate convexity or saddle regions.</w:t>
        <w:br/>
        <w:t>Curvature heatmap shows second-order sensitivity structure.</w:t>
      </w:r>
    </w:p>
    <w:p>
      <w:pPr>
        <w:pStyle w:val="Heading2"/>
      </w:pPr>
      <w:r>
        <w:t>8. Graph Interpretations</w:t>
      </w:r>
    </w:p>
    <w:p>
      <w:r>
        <w:t>Volatility Surface: Market uncertainty structure.</w:t>
        <w:br/>
        <w:t>Monte Carlo Plot: Simulation stability.</w:t>
        <w:br/>
        <w:t>Greeks Surfaces: Risk sensitivity.</w:t>
        <w:br/>
        <w:t>Loss Surface: Calibration geometry.</w:t>
        <w:br/>
        <w:t>Curvature Heatmap: Convexity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