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560"/>
              <w:left w:type="dxa" w:w="560"/>
              <w:bottom w:type="dxa" w:w="560"/>
              <w:right w:type="dxa" w:w="560"/>
            </w:tcMar>
          </w:tcPr>
          <w:p>
            <w:pPr>
              <w:spacing w:after="120"/>
              <w:jc w:val="center"/>
            </w:pPr>
            <w:r>
              <w:rPr>
                <w:rFonts w:ascii="Arial" w:cs="Arial" w:eastAsia="Arial" w:hAnsi="Arial"/>
                <w:b/>
                <w:bCs/>
                <w:color w:val="FFFFFF"/>
                <w:sz w:val="60"/>
                <w:szCs w:val="60"/>
              </w:rPr>
              <w:t xml:space="preserve">PROJECT GARUDA</w:t>
            </w:r>
          </w:p>
          <w:p>
            <w:pPr>
              <w:spacing w:after="160"/>
              <w:jc w:val="center"/>
            </w:pPr>
            <w:r>
              <w:rPr>
                <w:rFonts w:ascii="Arial" w:cs="Arial" w:eastAsia="Arial" w:hAnsi="Arial"/>
                <w:color w:val="A8C4E8"/>
                <w:sz w:val="32"/>
                <w:szCs w:val="32"/>
              </w:rPr>
              <w:t xml:space="preserve">Investor-Grade Go-To-Market Strategy</w:t>
            </w:r>
          </w:p>
          <w:p>
            <w:pPr>
              <w:spacing w:before="120" w:after="40"/>
              <w:jc w:val="center"/>
            </w:pPr>
            <w:r>
              <w:rPr>
                <w:rFonts w:ascii="Arial" w:cs="Arial" w:eastAsia="Arial" w:hAnsi="Arial"/>
                <w:b w:val="false"/>
                <w:bCs w:val="false"/>
                <w:color w:val="D0E4F7"/>
                <w:sz w:val="26"/>
                <w:szCs w:val="26"/>
              </w:rPr>
              <w:t xml:space="preserve">AI-Powered Intelligent Co-Driver System</w:t>
            </w:r>
          </w:p>
          <w:p>
            <w:pPr>
              <w:spacing w:after="0"/>
              <w:jc w:val="center"/>
            </w:pPr>
            <w:r>
              <w:rPr>
                <w:rFonts w:ascii="Arial" w:cs="Arial" w:eastAsia="Arial" w:hAnsi="Arial"/>
                <w:color w:val="8AAFE0"/>
                <w:sz w:val="22"/>
                <w:szCs w:val="22"/>
              </w:rPr>
              <w:t xml:space="preserve">Hardware  ·  AI  ·  Data Platform</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5D20" w:sz="1"/>
              <w:left w:val="single" w:color="E85D20" w:sz="1"/>
              <w:bottom w:val="single" w:color="E85D20" w:sz="1"/>
              <w:right w:val="single" w:color="E85D20" w:sz="1"/>
            </w:tcBorders>
            <w:shd w:fill="FFF0EA" w:val="clear"/>
            <w:tcMar>
              <w:top w:type="dxa" w:w="120"/>
              <w:left w:type="dxa" w:w="160"/>
              <w:bottom w:type="dxa" w:w="120"/>
              <w:right w:type="dxa" w:w="160"/>
            </w:tcMar>
          </w:tcPr>
          <w:p>
            <w:pPr>
              <w:jc w:val="center"/>
            </w:pPr>
            <w:r>
              <w:rPr>
                <w:rFonts w:ascii="Arial" w:cs="Arial" w:eastAsia="Arial" w:hAnsi="Arial"/>
                <w:b/>
                <w:bCs/>
                <w:color w:val="E85D20"/>
                <w:sz w:val="18"/>
                <w:szCs w:val="18"/>
              </w:rPr>
              <w:t xml:space="preserve">Market Focus</w:t>
            </w:r>
          </w:p>
          <w:p>
            <w:pPr>
              <w:jc w:val="center"/>
            </w:pPr>
            <w:r>
              <w:rPr>
                <w:rFonts w:ascii="Arial" w:cs="Arial" w:eastAsia="Arial" w:hAnsi="Arial"/>
                <w:b/>
                <w:bCs/>
                <w:color w:val="1A3C6E"/>
                <w:sz w:val="20"/>
                <w:szCs w:val="20"/>
              </w:rPr>
              <w:t xml:space="preserve">India Road Safety</w:t>
            </w:r>
          </w:p>
        </w:tc>
        <w:tc>
          <w:tcPr>
            <w:tcW w:type="dxa" w:w="3120"/>
            <w:tcBorders>
              <w:top w:val="single" w:color="E85D20" w:sz="1"/>
              <w:left w:val="single" w:color="E85D20" w:sz="1"/>
              <w:bottom w:val="single" w:color="E85D20" w:sz="1"/>
              <w:right w:val="single" w:color="E85D20" w:sz="1"/>
            </w:tcBorders>
            <w:shd w:fill="FFF0EA" w:val="clear"/>
            <w:tcMar>
              <w:top w:type="dxa" w:w="120"/>
              <w:left w:type="dxa" w:w="160"/>
              <w:bottom w:type="dxa" w:w="120"/>
              <w:right w:type="dxa" w:w="160"/>
            </w:tcMar>
          </w:tcPr>
          <w:p>
            <w:pPr>
              <w:jc w:val="center"/>
            </w:pPr>
            <w:r>
              <w:rPr>
                <w:rFonts w:ascii="Arial" w:cs="Arial" w:eastAsia="Arial" w:hAnsi="Arial"/>
                <w:b/>
                <w:bCs/>
                <w:color w:val="E85D20"/>
                <w:sz w:val="18"/>
                <w:szCs w:val="18"/>
              </w:rPr>
              <w:t xml:space="preserve">GTM Sequence</w:t>
            </w:r>
          </w:p>
          <w:p>
            <w:pPr>
              <w:jc w:val="center"/>
            </w:pPr>
            <w:r>
              <w:rPr>
                <w:rFonts w:ascii="Arial" w:cs="Arial" w:eastAsia="Arial" w:hAnsi="Arial"/>
                <w:b/>
                <w:bCs/>
                <w:color w:val="1A3C6E"/>
                <w:sz w:val="20"/>
                <w:szCs w:val="20"/>
              </w:rPr>
              <w:t xml:space="preserve">Trucks → Buses → Cars</w:t>
            </w:r>
          </w:p>
        </w:tc>
        <w:tc>
          <w:tcPr>
            <w:tcW w:type="dxa" w:w="3120"/>
            <w:tcBorders>
              <w:top w:val="single" w:color="E85D20" w:sz="1"/>
              <w:left w:val="single" w:color="E85D20" w:sz="1"/>
              <w:bottom w:val="single" w:color="E85D20" w:sz="1"/>
              <w:right w:val="single" w:color="E85D20" w:sz="1"/>
            </w:tcBorders>
            <w:shd w:fill="FFF0EA" w:val="clear"/>
            <w:tcMar>
              <w:top w:type="dxa" w:w="120"/>
              <w:left w:type="dxa" w:w="160"/>
              <w:bottom w:type="dxa" w:w="120"/>
              <w:right w:type="dxa" w:w="160"/>
            </w:tcMar>
          </w:tcPr>
          <w:p>
            <w:pPr>
              <w:jc w:val="center"/>
            </w:pPr>
            <w:r>
              <w:rPr>
                <w:rFonts w:ascii="Arial" w:cs="Arial" w:eastAsia="Arial" w:hAnsi="Arial"/>
                <w:b/>
                <w:bCs/>
                <w:color w:val="E85D20"/>
                <w:sz w:val="18"/>
                <w:szCs w:val="18"/>
              </w:rPr>
              <w:t xml:space="preserve">Target</w:t>
            </w:r>
          </w:p>
          <w:p>
            <w:pPr>
              <w:jc w:val="center"/>
            </w:pPr>
            <w:r>
              <w:rPr>
                <w:rFonts w:ascii="Arial" w:cs="Arial" w:eastAsia="Arial" w:hAnsi="Arial"/>
                <w:b/>
                <w:bCs/>
                <w:color w:val="1A3C6E"/>
                <w:sz w:val="20"/>
                <w:szCs w:val="20"/>
              </w:rPr>
              <w:t xml:space="preserve">Billion-Dollar Platform</w:t>
            </w:r>
          </w:p>
        </w:tc>
      </w:tr>
    </w:tbl>
    <w:p>
      <w:pPr>
        <w:spacing w:before="120" w:after="0"/>
      </w:pPr>
      <w:r>
        <w:t xml:space="preserve"/>
      </w:r>
    </w:p>
    <w:p>
      <w:pPr>
        <w:jc w:val="right"/>
      </w:pPr>
      <w:r>
        <w:rPr>
          <w:rFonts w:ascii="Arial" w:cs="Arial" w:eastAsia="Arial" w:hAnsi="Arial"/>
          <w:color w:val="888888"/>
          <w:sz w:val="18"/>
          <w:szCs w:val="18"/>
        </w:rPr>
        <w:t xml:space="preserve">Confidential · 2025</w:t>
      </w:r>
    </w:p>
    <w:p>
      <w:r>
        <w:br w:type="page"/>
      </w:r>
    </w:p>
    <w:p>
      <w:pPr>
        <w:pStyle w:val="Heading1"/>
        <w:pBdr>
          <w:bottom w:val="single" w:color="E85D20" w:sz="8" w:space="4"/>
        </w:pBdr>
        <w:spacing w:before="360" w:after="120"/>
      </w:pPr>
      <w:r>
        <w:rPr>
          <w:rFonts w:ascii="Arial" w:cs="Arial" w:eastAsia="Arial" w:hAnsi="Arial"/>
          <w:b/>
          <w:bCs/>
          <w:color w:val="1A3C6E"/>
          <w:sz w:val="36"/>
          <w:szCs w:val="36"/>
        </w:rPr>
        <w:t xml:space="preserve">1. Strategic Analysis</w:t>
      </w:r>
    </w:p>
    <w:p>
      <w:pPr>
        <w:spacing w:before="80" w:after="0"/>
      </w:pPr>
      <w:r>
        <w:t xml:space="preserve"/>
      </w:r>
    </w:p>
    <w:p>
      <w:pPr>
        <w:pStyle w:val="Heading2"/>
        <w:spacing w:before="280" w:after="80"/>
      </w:pPr>
      <w:r>
        <w:rPr>
          <w:rFonts w:ascii="Arial" w:cs="Arial" w:eastAsia="Arial" w:hAnsi="Arial"/>
          <w:b/>
          <w:bCs/>
          <w:color w:val="1A3C6E"/>
          <w:sz w:val="26"/>
          <w:szCs w:val="26"/>
        </w:rPr>
        <w:t xml:space="preserve">Strengths of the Truck → Bus → Car Sequencing</w:t>
      </w:r>
    </w:p>
    <w:p>
      <w:pPr>
        <w:spacing w:before="40" w:after="0"/>
      </w:pPr>
      <w:r>
        <w:t xml:space="preserve"/>
      </w:r>
    </w:p>
    <w:p>
      <w:pPr>
        <w:spacing w:before="60" w:after="80"/>
      </w:pPr>
      <w:r>
        <w:rPr>
          <w:rFonts w:ascii="Arial" w:cs="Arial" w:eastAsia="Arial" w:hAnsi="Arial"/>
          <w:color w:val="222222"/>
          <w:sz w:val="22"/>
          <w:szCs w:val="22"/>
        </w:rPr>
        <w:t xml:space="preserve">The founder's instinct to begin with commercial fleets is not just strategically sound — it is arguably the only viable path for a hardware+AI startup with limited initial capital. Here is why this sequencing is exceptional:</w:t>
      </w:r>
    </w:p>
    <w:p>
      <w:pPr>
        <w:spacing w:before="60" w:after="0"/>
      </w:pPr>
      <w:r>
        <w:t xml:space="preserve"/>
      </w:r>
    </w:p>
    <w:p>
      <w:pPr>
        <w:spacing w:before="200" w:after="60"/>
      </w:pPr>
      <w:r>
        <w:rPr>
          <w:rFonts w:ascii="Arial" w:cs="Arial" w:eastAsia="Arial" w:hAnsi="Arial"/>
          <w:b/>
          <w:bCs/>
          <w:color w:val="E85D20"/>
          <w:sz w:val="22"/>
          <w:szCs w:val="22"/>
        </w:rPr>
        <w:t xml:space="preserve">Economic Pull, Not a Push Sale</w:t>
      </w:r>
    </w:p>
    <w:p>
      <w:pPr>
        <w:pStyle w:val="ListParagraph"/>
        <w:numPr>
          <w:ilvl w:val="0"/>
          <w:numId w:val="2"/>
        </w:numPr>
        <w:spacing w:before="40" w:after="40"/>
      </w:pPr>
      <w:r>
        <w:rPr>
          <w:rFonts w:ascii="Arial" w:cs="Arial" w:eastAsia="Arial" w:hAnsi="Arial"/>
          <w:color w:val="222222"/>
          <w:sz w:val="22"/>
          <w:szCs w:val="22"/>
        </w:rPr>
        <w:t xml:space="preserve">Truck operators experience ₹8–25 lakh in direct losses per accident (vehicle, goods, downtime, legal liability).</w:t>
      </w:r>
    </w:p>
    <w:p>
      <w:pPr>
        <w:pStyle w:val="ListParagraph"/>
        <w:numPr>
          <w:ilvl w:val="0"/>
          <w:numId w:val="2"/>
        </w:numPr>
        <w:spacing w:before="40" w:after="40"/>
      </w:pPr>
      <w:r>
        <w:rPr>
          <w:rFonts w:ascii="Arial" w:cs="Arial" w:eastAsia="Arial" w:hAnsi="Arial"/>
          <w:color w:val="222222"/>
          <w:sz w:val="22"/>
          <w:szCs w:val="22"/>
        </w:rPr>
        <w:t xml:space="preserve">Safety is not a 'nice to have' — it is a balance sheet line item. Garuda sells ROI, not ideology.</w:t>
      </w:r>
    </w:p>
    <w:p>
      <w:pPr>
        <w:pStyle w:val="ListParagraph"/>
        <w:numPr>
          <w:ilvl w:val="0"/>
          <w:numId w:val="2"/>
        </w:numPr>
        <w:spacing w:before="40" w:after="40"/>
      </w:pPr>
      <w:r>
        <w:rPr>
          <w:rFonts w:ascii="Arial" w:cs="Arial" w:eastAsia="Arial" w:hAnsi="Arial"/>
          <w:color w:val="222222"/>
          <w:sz w:val="22"/>
          <w:szCs w:val="22"/>
        </w:rPr>
        <w:t xml:space="preserve">This eliminates the single hardest challenge in B2C sales: convincing someone they have a problem.</w:t>
      </w:r>
    </w:p>
    <w:p>
      <w:pPr>
        <w:spacing w:before="60" w:after="0"/>
      </w:pPr>
      <w:r>
        <w:t xml:space="preserve"/>
      </w:r>
    </w:p>
    <w:p>
      <w:pPr>
        <w:spacing w:before="200" w:after="60"/>
      </w:pPr>
      <w:r>
        <w:rPr>
          <w:rFonts w:ascii="Arial" w:cs="Arial" w:eastAsia="Arial" w:hAnsi="Arial"/>
          <w:b/>
          <w:bCs/>
          <w:color w:val="E85D20"/>
          <w:sz w:val="22"/>
          <w:szCs w:val="22"/>
        </w:rPr>
        <w:t xml:space="preserve">Data Flywheel From Day One</w:t>
      </w:r>
    </w:p>
    <w:p>
      <w:pPr>
        <w:pStyle w:val="ListParagraph"/>
        <w:numPr>
          <w:ilvl w:val="0"/>
          <w:numId w:val="2"/>
        </w:numPr>
        <w:spacing w:before="40" w:after="40"/>
      </w:pPr>
      <w:r>
        <w:rPr>
          <w:rFonts w:ascii="Arial" w:cs="Arial" w:eastAsia="Arial" w:hAnsi="Arial"/>
          <w:color w:val="222222"/>
          <w:sz w:val="22"/>
          <w:szCs w:val="22"/>
        </w:rPr>
        <w:t xml:space="preserve">Commercial vehicles are on the road 14–18 hours per day vs. 1–2 hours for private cars.</w:t>
      </w:r>
    </w:p>
    <w:p>
      <w:pPr>
        <w:pStyle w:val="ListParagraph"/>
        <w:numPr>
          <w:ilvl w:val="0"/>
          <w:numId w:val="2"/>
        </w:numPr>
        <w:spacing w:before="40" w:after="40"/>
      </w:pPr>
      <w:r>
        <w:rPr>
          <w:rFonts w:ascii="Arial" w:cs="Arial" w:eastAsia="Arial" w:hAnsi="Arial"/>
          <w:color w:val="222222"/>
          <w:sz w:val="22"/>
          <w:szCs w:val="22"/>
        </w:rPr>
        <w:t xml:space="preserve">A fleet of 500 trucks generates more training data in 30 days than 10,000 private cars in a year.</w:t>
      </w:r>
    </w:p>
    <w:p>
      <w:pPr>
        <w:pStyle w:val="ListParagraph"/>
        <w:numPr>
          <w:ilvl w:val="0"/>
          <w:numId w:val="2"/>
        </w:numPr>
        <w:spacing w:before="40" w:after="40"/>
      </w:pPr>
      <w:r>
        <w:rPr>
          <w:rFonts w:ascii="Arial" w:cs="Arial" w:eastAsia="Arial" w:hAnsi="Arial"/>
          <w:color w:val="222222"/>
          <w:sz w:val="22"/>
          <w:szCs w:val="22"/>
        </w:rPr>
        <w:t xml:space="preserve">Every kilometer driven makes the accident prediction model more accurate — which raises the barrier for any competitor who enters later.</w:t>
      </w:r>
    </w:p>
    <w:p>
      <w:pPr>
        <w:spacing w:before="60" w:after="0"/>
      </w:pPr>
      <w:r>
        <w:t xml:space="preserve"/>
      </w:r>
    </w:p>
    <w:p>
      <w:pPr>
        <w:spacing w:before="200" w:after="60"/>
      </w:pPr>
      <w:r>
        <w:rPr>
          <w:rFonts w:ascii="Arial" w:cs="Arial" w:eastAsia="Arial" w:hAnsi="Arial"/>
          <w:b/>
          <w:bCs/>
          <w:color w:val="E85D20"/>
          <w:sz w:val="22"/>
          <w:szCs w:val="22"/>
        </w:rPr>
        <w:t xml:space="preserve">Concentrated, Reachable Decision Makers</w:t>
      </w:r>
    </w:p>
    <w:p>
      <w:pPr>
        <w:pStyle w:val="ListParagraph"/>
        <w:numPr>
          <w:ilvl w:val="0"/>
          <w:numId w:val="2"/>
        </w:numPr>
        <w:spacing w:before="40" w:after="40"/>
      </w:pPr>
      <w:r>
        <w:rPr>
          <w:rFonts w:ascii="Arial" w:cs="Arial" w:eastAsia="Arial" w:hAnsi="Arial"/>
          <w:color w:val="222222"/>
          <w:sz w:val="22"/>
          <w:szCs w:val="22"/>
        </w:rPr>
        <w:t xml:space="preserve">A fleet of 200 trucks has one procurement head. 200 private car owners have 200 different gatekeepers.</w:t>
      </w:r>
    </w:p>
    <w:p>
      <w:pPr>
        <w:pStyle w:val="ListParagraph"/>
        <w:numPr>
          <w:ilvl w:val="0"/>
          <w:numId w:val="2"/>
        </w:numPr>
        <w:spacing w:before="40" w:after="40"/>
      </w:pPr>
      <w:r>
        <w:rPr>
          <w:rFonts w:ascii="Arial" w:cs="Arial" w:eastAsia="Arial" w:hAnsi="Arial"/>
          <w:color w:val="222222"/>
          <w:sz w:val="22"/>
          <w:szCs w:val="22"/>
        </w:rPr>
        <w:t xml:space="preserve">One enterprise sale = 50–500 units deployed. Unit economics of sales CAC become favorable rapidly.</w:t>
      </w:r>
    </w:p>
    <w:p>
      <w:pPr>
        <w:pStyle w:val="ListParagraph"/>
        <w:numPr>
          <w:ilvl w:val="0"/>
          <w:numId w:val="2"/>
        </w:numPr>
        <w:spacing w:before="40" w:after="40"/>
      </w:pPr>
      <w:r>
        <w:rPr>
          <w:rFonts w:ascii="Arial" w:cs="Arial" w:eastAsia="Arial" w:hAnsi="Arial"/>
          <w:color w:val="222222"/>
          <w:sz w:val="22"/>
          <w:szCs w:val="22"/>
        </w:rPr>
        <w:t xml:space="preserve">Proof of concept is verifiable: operators can see safety scores, near-miss events, and fuel savings in a dashboard.</w:t>
      </w:r>
    </w:p>
    <w:p>
      <w:pPr>
        <w:spacing w:before="80" w:after="0"/>
      </w:pPr>
      <w:r>
        <w:t xml:space="preserve"/>
      </w:r>
    </w:p>
    <w:p>
      <w:pPr>
        <w:pStyle w:val="Heading2"/>
        <w:spacing w:before="280" w:after="80"/>
      </w:pPr>
      <w:r>
        <w:rPr>
          <w:rFonts w:ascii="Arial" w:cs="Arial" w:eastAsia="Arial" w:hAnsi="Arial"/>
          <w:b/>
          <w:bCs/>
          <w:color w:val="1A3C6E"/>
          <w:sz w:val="26"/>
          <w:szCs w:val="26"/>
        </w:rPr>
        <w:t xml:space="preserve">Risks &amp; Blind Spots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760"/>
      </w:tblGrid>
      <w:tr>
        <w:tc>
          <w:tcPr>
            <w:tcW w:type="dxa" w:w="40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7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Hardware reliability in harsh Indian road conditions (dust, heat, vibration)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Ruggedized enclosure spec; 6-month durability test protocol; field replacement SLA</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Driver resistance / tampering with device</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HIGH</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Framing as driver reward system, not surveillance; gamification of safety score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Long B2B sales cycle (3–9 months)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Pilot-first strategy: 30-truck free pilot with data dashboard; convert on results</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Regulatory uncertainty (no mandate for AI co-driver yet)</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MEDIUM</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Lobby NHAI / MoRTH; position as voluntary standard; court insurance cos.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Competitor (Mobileye, Bosch) entering low-cost segment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Indian road data moat + vernacular voice interface + offline BLE = local advantage</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Unit economics at small scale</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HIGH</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Lease/SaaS model over outright hardware sale; ₹3,000–5,000/month subscription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20" w:sz="1"/>
              <w:left w:val="single" w:color="E85D20" w:sz="16"/>
              <w:bottom w:val="none" w:color="FFFFFF" w:sz="0"/>
              <w:right w:val="none" w:color="FFFFFF" w:sz="0"/>
            </w:tcBorders>
            <w:shd w:fill="FFF0EA" w:val="clear"/>
            <w:tcMar>
              <w:top w:type="dxa" w:w="100"/>
              <w:left w:type="dxa" w:w="240"/>
              <w:bottom w:type="dxa" w:w="20"/>
              <w:right w:type="dxa" w:w="240"/>
            </w:tcMar>
          </w:tcPr>
          <w:p>
            <w:r>
              <w:rPr>
                <w:rFonts w:ascii="Arial" w:cs="Arial" w:eastAsia="Arial" w:hAnsi="Arial"/>
                <w:b/>
                <w:bCs/>
                <w:color w:val="E85D20"/>
                <w:sz w:val="22"/>
                <w:szCs w:val="22"/>
              </w:rPr>
              <w:t xml:space="preserve">VERDICT ON SEQUENCING</w:t>
            </w:r>
          </w:p>
        </w:tc>
      </w:tr>
      <w:tr>
        <w:tc>
          <w:tcPr>
            <w:tcW w:type="dxa" w:w="9360"/>
            <w:tcBorders>
              <w:top w:val="none" w:color="FFFFFF" w:sz="0"/>
              <w:left w:val="single" w:color="E85D20" w:sz="16"/>
              <w:bottom w:val="single" w:color="E85D20" w:sz="1"/>
              <w:right w:val="none" w:color="FFFFFF" w:sz="0"/>
            </w:tcBorders>
            <w:shd w:fill="FFF0EA" w:val="clear"/>
            <w:tcMar>
              <w:top w:type="dxa" w:w="20"/>
              <w:left w:type="dxa" w:w="240"/>
              <w:bottom w:type="dxa" w:w="100"/>
              <w:right w:type="dxa" w:w="240"/>
            </w:tcMar>
          </w:tcPr>
          <w:p>
            <w:r>
              <w:rPr>
                <w:rFonts w:ascii="Arial" w:cs="Arial" w:eastAsia="Arial" w:hAnsi="Arial"/>
                <w:color w:val="333333"/>
                <w:sz w:val="20"/>
                <w:szCs w:val="20"/>
              </w:rPr>
              <w:t xml:space="preserve">Truck → Bus → Car is not just a good idea. It is the textbook Beachhead Strategy made concrete. Each phase funds the next, validates the core technology, and builds an increasingly powerful data moat. Do not deviate from this sequence.</w:t>
            </w:r>
          </w:p>
        </w:tc>
      </w:tr>
    </w:tbl>
    <w:p>
      <w:r>
        <w:br w:type="page"/>
      </w:r>
    </w:p>
    <w:p>
      <w:pPr>
        <w:spacing w:before="120" w:after="0"/>
      </w:pPr>
      <w:r>
        <w:t xml:space="preserve"/>
      </w:r>
    </w:p>
    <w:p>
      <w:pPr>
        <w:pStyle w:val="Heading1"/>
        <w:pBdr>
          <w:bottom w:val="single" w:color="E85D20" w:sz="8" w:space="4"/>
        </w:pBdr>
        <w:spacing w:before="360" w:after="120"/>
      </w:pPr>
      <w:r>
        <w:rPr>
          <w:rFonts w:ascii="Arial" w:cs="Arial" w:eastAsia="Arial" w:hAnsi="Arial"/>
          <w:b/>
          <w:bCs/>
          <w:color w:val="1A3C6E"/>
          <w:sz w:val="36"/>
          <w:szCs w:val="36"/>
        </w:rPr>
        <w:t xml:space="preserve">2. Customer Segment Breakdown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160"/>
              <w:left w:type="dxa" w:w="280"/>
              <w:bottom w:type="dxa" w:w="160"/>
              <w:right w:type="dxa" w:w="280"/>
            </w:tcMar>
          </w:tcPr>
          <w:p>
            <w:pPr>
              <w:jc w:val="left"/>
            </w:pPr>
            <w:r>
              <w:rPr>
                <w:rFonts w:ascii="Arial" w:cs="Arial" w:eastAsia="Arial" w:hAnsi="Arial"/>
                <w:b/>
                <w:bCs/>
                <w:color w:val="FFFFFF"/>
                <w:sz w:val="28"/>
                <w:szCs w:val="28"/>
              </w:rPr>
              <w:t xml:space="preserve">🚚  Segment 1: Trucks (Logistics &amp; Long-Haul)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5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Primary Pain Points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Accident liability costs ₹8–25L per incident; driver fatigue on NH routes; goods damage claims; high insurance premiums; FMCSA-equivalent compliance pressure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Decision Maker</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Fleet owner / Operations Manager in mid-size companies (50–500 trucks). Transport cooperatives for smaller operators.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Buying Behavior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ROI-driven; requires a 30–60 day pilot with hard data. Peer referrals from other fleet operators are gold. Tender-based for &gt;200-truck fleets.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Willingness to Pay</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₹3,000–6,000/truck/month if ROI is proven. One avoided major accident pays for 2–4 years of subscription.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Sales Cycle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3–6 months for 50+ fleet. 1–2 months for 10-truck pilot. Faster with insurance co-selling.</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Key Objection</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"My drivers will disable it." Counter: device is tamper-evident + driver scoreboard creates competition.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Ideal First Customer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Mid-size logistics company (100–300 trucks), NH routes, history of accidents, no existing telematics.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160"/>
              <w:left w:type="dxa" w:w="280"/>
              <w:bottom w:type="dxa" w:w="160"/>
              <w:right w:type="dxa" w:w="280"/>
            </w:tcMar>
          </w:tcPr>
          <w:p>
            <w:pPr>
              <w:jc w:val="left"/>
            </w:pPr>
            <w:r>
              <w:rPr>
                <w:rFonts w:ascii="Arial" w:cs="Arial" w:eastAsia="Arial" w:hAnsi="Arial"/>
                <w:b/>
                <w:bCs/>
                <w:color w:val="FFFFFF"/>
                <w:sz w:val="28"/>
                <w:szCs w:val="28"/>
              </w:rPr>
              <w:t xml:space="preserve">🚌  Segment 2: Buses (Public &amp; Private Transport)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5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Primary Pain Points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Passenger safety liability (criminal prosecution for operators); court settlements post-accident; state government pressure; tourism/school bus insurance costs.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Decision Maker</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Private bus operator (fleet of 20–100 buses), State Transport Undertaking (STU) procurement committee, private school/college transport manager.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Buying Behavior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Private operators respond to peer referral + insurance discounts. STUs require tender + pilot. School buses driven by parental pressure / regulation.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Willingness to Pay</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₹4,000–7,000/bus/month. STUs may require subsidy model. Private operators value insurance savings more than direct 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Sales Cycle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2–4 months for private. 6–18 months for government/STU. Target private first.</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Regulatory Tailwind</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MoRTH mandates AIS-140 GPS in commercial buses. Garuda can integrate with AIS-140 infrastructure. Upcoming driver fatigue norms are a strong catalyst.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Key Objection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"We already have GPS." Counter: GPS tracks location. Garuda predicts the accident 8 seconds before it happens.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160"/>
              <w:left w:type="dxa" w:w="280"/>
              <w:bottom w:type="dxa" w:w="160"/>
              <w:right w:type="dxa" w:w="280"/>
            </w:tcMar>
          </w:tcPr>
          <w:p>
            <w:pPr>
              <w:jc w:val="left"/>
            </w:pPr>
            <w:r>
              <w:rPr>
                <w:rFonts w:ascii="Arial" w:cs="Arial" w:eastAsia="Arial" w:hAnsi="Arial"/>
                <w:b/>
                <w:bCs/>
                <w:color w:val="FFFFFF"/>
                <w:sz w:val="28"/>
                <w:szCs w:val="28"/>
              </w:rPr>
              <w:t xml:space="preserve">🚗  Segment 3: Private Cars (Mass Market)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5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Primary Pain Points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Distracted driving; young driver safety; family safety anxiety; high car insurance premiums for new drivers.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Decision Maker</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Individual car owner or parent of young driver. OEM partnerships bypass the individual consumer entirely.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Buying Behavior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Driven by emotion (family safety), not pure ROI. App store discovery, YouTube reviews, insurance incentives, OEM pre-install.</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Willingness to Pay</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₹500–1,500/month (B2C subscription) or ₹8,000–15,000 one-time hardware. OEM white-label at ₹4,000–8,000 per vehicle at scale.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Sales Cycle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Consumer: days-to-weeks (impulse + review-driven). OEM: 18–36 months partnership cycle.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Key Advantage of Late Entry</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By Phase 3, AI model trained on 100M+ km of Indian road data. No competitor can match prediction accuracy. Product enters the mass market already proven.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Distribution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Amazon/Flipkart direct; auto accessory retail; OEM partnership; insurance bundling. Avoid building own retail channel.</w:t>
            </w:r>
          </w:p>
        </w:tc>
      </w:tr>
    </w:tbl>
    <w:p>
      <w:r>
        <w:br w:type="page"/>
      </w:r>
    </w:p>
    <w:p>
      <w:pPr>
        <w:spacing w:before="120" w:after="0"/>
      </w:pPr>
      <w:r>
        <w:t xml:space="preserve"/>
      </w:r>
    </w:p>
    <w:p>
      <w:pPr>
        <w:pStyle w:val="Heading1"/>
        <w:pBdr>
          <w:bottom w:val="single" w:color="E85D20" w:sz="8" w:space="4"/>
        </w:pBdr>
        <w:spacing w:before="360" w:after="120"/>
      </w:pPr>
      <w:r>
        <w:rPr>
          <w:rFonts w:ascii="Arial" w:cs="Arial" w:eastAsia="Arial" w:hAnsi="Arial"/>
          <w:b/>
          <w:bCs/>
          <w:color w:val="1A3C6E"/>
          <w:sz w:val="36"/>
          <w:szCs w:val="36"/>
        </w:rPr>
        <w:t xml:space="preserve">3. ROI Justification</w:t>
      </w:r>
    </w:p>
    <w:p>
      <w:pPr>
        <w:spacing w:before="40" w:after="0"/>
      </w:pPr>
      <w:r>
        <w:t xml:space="preserve"/>
      </w:r>
    </w:p>
    <w:p>
      <w:pPr>
        <w:spacing w:before="60" w:after="80"/>
      </w:pPr>
      <w:r>
        <w:rPr>
          <w:rFonts w:ascii="Arial" w:cs="Arial" w:eastAsia="Arial" w:hAnsi="Arial"/>
          <w:color w:val="222222"/>
          <w:sz w:val="22"/>
          <w:szCs w:val="22"/>
        </w:rPr>
        <w:t xml:space="preserve">The single most important sales tool for Garuda in Phase 1 and 2 is a simple, irrefutable ROI calculation. Operators do not buy safety — they buy savings.</w:t>
      </w:r>
    </w:p>
    <w:p>
      <w:pPr>
        <w:spacing w:before="80" w:after="0"/>
      </w:pPr>
      <w:r>
        <w:t xml:space="preserve"/>
      </w:r>
    </w:p>
    <w:p>
      <w:pPr>
        <w:pStyle w:val="Heading2"/>
        <w:spacing w:before="280" w:after="80"/>
      </w:pPr>
      <w:r>
        <w:rPr>
          <w:rFonts w:ascii="Arial" w:cs="Arial" w:eastAsia="Arial" w:hAnsi="Arial"/>
          <w:b/>
          <w:bCs/>
          <w:color w:val="1A3C6E"/>
          <w:sz w:val="26"/>
          <w:szCs w:val="26"/>
        </w:rPr>
        <w:t xml:space="preserve">The Cost of One Truck Accident in India</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Cost Component</w:t>
            </w:r>
          </w:p>
        </w:tc>
        <w:tc>
          <w:tcPr>
            <w:tcW w:type="dxa" w:w="41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Estimated Range (INR)</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Vehicle repair / total loss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₹3,00,000 – ₹15,00,000</w:t>
            </w:r>
          </w:p>
        </w:tc>
      </w:tr>
      <w:tr>
        <w:tc>
          <w:tcPr>
            <w:tcW w:type="dxa" w:w="5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Goods damage / liability claim</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₹2,00,000 – ₹12,00,000</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Driver hospitalization + downtime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₹50,000 – ₹3,00,000</w:t>
            </w:r>
          </w:p>
        </w:tc>
      </w:tr>
      <w:tr>
        <w:tc>
          <w:tcPr>
            <w:tcW w:type="dxa" w:w="5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Legal / court settlement</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₹1,00,000 – ₹8,00,000</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Route downtime (3–14 days)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₹60,000 – ₹4,00,000</w:t>
            </w:r>
          </w:p>
        </w:tc>
      </w:tr>
      <w:tr>
        <w:tc>
          <w:tcPr>
            <w:tcW w:type="dxa" w:w="5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Insurance premium increase</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₹50,000 – ₹2,00,000 / year</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TOTAL per major accident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₹7,60,000 – ₹44,00,000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20" w:sz="1"/>
              <w:left w:val="single" w:color="E85D20" w:sz="16"/>
              <w:bottom w:val="none" w:color="FFFFFF" w:sz="0"/>
              <w:right w:val="none" w:color="FFFFFF" w:sz="0"/>
            </w:tcBorders>
            <w:shd w:fill="FFF0EA" w:val="clear"/>
            <w:tcMar>
              <w:top w:type="dxa" w:w="100"/>
              <w:left w:type="dxa" w:w="240"/>
              <w:bottom w:type="dxa" w:w="20"/>
              <w:right w:type="dxa" w:w="240"/>
            </w:tcMar>
          </w:tcPr>
          <w:p>
            <w:r>
              <w:rPr>
                <w:rFonts w:ascii="Arial" w:cs="Arial" w:eastAsia="Arial" w:hAnsi="Arial"/>
                <w:b/>
                <w:bCs/>
                <w:color w:val="E85D20"/>
                <w:sz w:val="22"/>
                <w:szCs w:val="22"/>
              </w:rPr>
              <w:t xml:space="preserve">The Garuda ROI Calculation (Per Truck)</w:t>
            </w:r>
          </w:p>
        </w:tc>
      </w:tr>
      <w:tr>
        <w:tc>
          <w:tcPr>
            <w:tcW w:type="dxa" w:w="9360"/>
            <w:tcBorders>
              <w:top w:val="none" w:color="FFFFFF" w:sz="0"/>
              <w:left w:val="single" w:color="E85D20" w:sz="16"/>
              <w:bottom w:val="single" w:color="E85D20" w:sz="1"/>
              <w:right w:val="none" w:color="FFFFFF" w:sz="0"/>
            </w:tcBorders>
            <w:shd w:fill="FFF0EA" w:val="clear"/>
            <w:tcMar>
              <w:top w:type="dxa" w:w="20"/>
              <w:left w:type="dxa" w:w="240"/>
              <w:bottom w:type="dxa" w:w="100"/>
              <w:right w:type="dxa" w:w="240"/>
            </w:tcMar>
          </w:tcPr>
          <w:p>
            <w:r>
              <w:rPr>
                <w:rFonts w:ascii="Arial" w:cs="Arial" w:eastAsia="Arial" w:hAnsi="Arial"/>
                <w:color w:val="333333"/>
                <w:sz w:val="20"/>
                <w:szCs w:val="20"/>
              </w:rPr>
              <w:t xml:space="preserve">Garuda cost: ₹4,500/month = ₹54,000/year.
If Garuda prevents just ONE major accident every 3 years: Savings = ₹7.6L+.
Return on investment: 14x over 3 years at minimum. This is not a safety purchase. This is a financial decision.</w:t>
            </w:r>
          </w:p>
        </w:tc>
      </w:tr>
    </w:tbl>
    <w:p>
      <w:pPr>
        <w:spacing w:before="80" w:after="0"/>
      </w:pPr>
      <w:r>
        <w:t xml:space="preserve"/>
      </w:r>
    </w:p>
    <w:p>
      <w:pPr>
        <w:pStyle w:val="Heading2"/>
        <w:spacing w:before="280" w:after="80"/>
      </w:pPr>
      <w:r>
        <w:rPr>
          <w:rFonts w:ascii="Arial" w:cs="Arial" w:eastAsia="Arial" w:hAnsi="Arial"/>
          <w:b/>
          <w:bCs/>
          <w:color w:val="1A3C6E"/>
          <w:sz w:val="26"/>
          <w:szCs w:val="26"/>
        </w:rPr>
        <w:t xml:space="preserve">How to Position Value</w:t>
      </w:r>
    </w:p>
    <w:p>
      <w:pPr>
        <w:spacing w:before="40" w:after="0"/>
      </w:pPr>
      <w:r>
        <w:t xml:space="preserve"/>
      </w:r>
    </w:p>
    <w:p>
      <w:pPr>
        <w:pStyle w:val="ListParagraph"/>
        <w:numPr>
          <w:ilvl w:val="0"/>
          <w:numId w:val="2"/>
        </w:numPr>
        <w:spacing w:before="40" w:after="40"/>
      </w:pPr>
      <w:r>
        <w:rPr>
          <w:rFonts w:ascii="Arial" w:cs="Arial" w:eastAsia="Arial" w:hAnsi="Arial"/>
          <w:color w:val="222222"/>
          <w:sz w:val="22"/>
          <w:szCs w:val="22"/>
        </w:rPr>
        <w:t xml:space="preserve">Never lead with features ('AI prediction, BLE mesh'). Lead with money.</w:t>
      </w:r>
    </w:p>
    <w:p>
      <w:pPr>
        <w:pStyle w:val="ListParagraph"/>
        <w:numPr>
          <w:ilvl w:val="0"/>
          <w:numId w:val="2"/>
        </w:numPr>
        <w:spacing w:before="40" w:after="40"/>
      </w:pPr>
      <w:r>
        <w:rPr>
          <w:rFonts w:ascii="Arial" w:cs="Arial" w:eastAsia="Arial" w:hAnsi="Arial"/>
          <w:color w:val="222222"/>
          <w:sz w:val="22"/>
          <w:szCs w:val="22"/>
        </w:rPr>
        <w:t xml:space="preserve">"Our pilot customers reduced reportable incidents by 40% in 90 days" — get one data point like this and replicate it.</w:t>
      </w:r>
    </w:p>
    <w:p>
      <w:pPr>
        <w:pStyle w:val="ListParagraph"/>
        <w:numPr>
          <w:ilvl w:val="0"/>
          <w:numId w:val="2"/>
        </w:numPr>
        <w:spacing w:before="40" w:after="40"/>
      </w:pPr>
      <w:r>
        <w:rPr>
          <w:rFonts w:ascii="Arial" w:cs="Arial" w:eastAsia="Arial" w:hAnsi="Arial"/>
          <w:color w:val="222222"/>
          <w:sz w:val="22"/>
          <w:szCs w:val="22"/>
        </w:rPr>
        <w:t xml:space="preserve">Use insurance partnership as proof: if insurers give a 10–15% premium discount to Garuda-equipped fleets, the device pays for itself in under 6 months.</w:t>
      </w:r>
    </w:p>
    <w:p>
      <w:pPr>
        <w:pStyle w:val="ListParagraph"/>
        <w:numPr>
          <w:ilvl w:val="0"/>
          <w:numId w:val="2"/>
        </w:numPr>
        <w:spacing w:before="40" w:after="40"/>
      </w:pPr>
      <w:r>
        <w:rPr>
          <w:rFonts w:ascii="Arial" w:cs="Arial" w:eastAsia="Arial" w:hAnsi="Arial"/>
          <w:color w:val="222222"/>
          <w:sz w:val="22"/>
          <w:szCs w:val="22"/>
        </w:rPr>
        <w:t xml:space="preserve">Show a live dashboard during demos: near-miss events caught, drowsiness alerts, risk scores by driver. Operators love data.</w:t>
      </w:r>
    </w:p>
    <w:p>
      <w:pPr>
        <w:pStyle w:val="ListParagraph"/>
        <w:numPr>
          <w:ilvl w:val="0"/>
          <w:numId w:val="2"/>
        </w:numPr>
        <w:spacing w:before="40" w:after="40"/>
      </w:pPr>
      <w:r>
        <w:rPr>
          <w:rFonts w:ascii="Arial" w:cs="Arial" w:eastAsia="Arial" w:hAnsi="Arial"/>
          <w:color w:val="222222"/>
          <w:sz w:val="22"/>
          <w:szCs w:val="22"/>
        </w:rPr>
        <w:t xml:space="preserve">For buses: passenger safety = legal immunity. One criminal case against a bus operator costs more than 10 years of Garuda subscription.</w:t>
      </w:r>
    </w:p>
    <w:p>
      <w:r>
        <w:br w:type="page"/>
      </w:r>
    </w:p>
    <w:p>
      <w:pPr>
        <w:spacing w:before="120" w:after="0"/>
      </w:pPr>
      <w:r>
        <w:t xml:space="preserve"/>
      </w:r>
    </w:p>
    <w:p>
      <w:pPr>
        <w:pStyle w:val="Heading1"/>
        <w:pBdr>
          <w:bottom w:val="single" w:color="E85D20" w:sz="8" w:space="4"/>
        </w:pBdr>
        <w:spacing w:before="360" w:after="120"/>
      </w:pPr>
      <w:r>
        <w:rPr>
          <w:rFonts w:ascii="Arial" w:cs="Arial" w:eastAsia="Arial" w:hAnsi="Arial"/>
          <w:b/>
          <w:bCs/>
          <w:color w:val="1A3C6E"/>
          <w:sz w:val="36"/>
          <w:szCs w:val="36"/>
        </w:rPr>
        <w:t xml:space="preserve">4. Phase-Wise GTM Plan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6B3A" w:val="clear"/>
            <w:tcMar>
              <w:top w:type="dxa" w:w="160"/>
              <w:left w:type="dxa" w:w="280"/>
              <w:bottom w:type="dxa" w:w="160"/>
              <w:right w:type="dxa" w:w="280"/>
            </w:tcMar>
          </w:tcPr>
          <w:p>
            <w:pPr>
              <w:jc w:val="left"/>
            </w:pPr>
            <w:r>
              <w:rPr>
                <w:rFonts w:ascii="Arial" w:cs="Arial" w:eastAsia="Arial" w:hAnsi="Arial"/>
                <w:b/>
                <w:bCs/>
                <w:color w:val="FFFFFF"/>
                <w:sz w:val="28"/>
                <w:szCs w:val="28"/>
              </w:rPr>
              <w:t xml:space="preserve">PHASE 1 · Months 0–18 · Trucks: Data + Validation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6B3A" w:val="clear"/>
            <w:tcMar>
              <w:top w:type="dxa" w:w="80"/>
              <w:left w:type="dxa" w:w="160"/>
              <w:bottom w:type="dxa" w:w="80"/>
              <w:right w:type="dxa" w:w="160"/>
            </w:tcMar>
          </w:tcPr>
          <w:p>
            <w:r>
              <w:rPr>
                <w:rFonts w:ascii="Arial" w:cs="Arial" w:eastAsia="Arial" w:hAnsi="Arial"/>
                <w:b/>
                <w:bCs/>
                <w:color w:val="FFFFFF"/>
                <w:sz w:val="20"/>
                <w:szCs w:val="20"/>
              </w:rPr>
              <w:t xml:space="preserve">OBJECTIVE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22222"/>
                <w:sz w:val="19"/>
                <w:szCs w:val="19"/>
              </w:rPr>
              <w:t xml:space="preserve">Deploy 500–2,000 units. Build core dataset. Prove product-market fit. Generate first revenue.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3C6E"/>
                <w:sz w:val="20"/>
                <w:szCs w:val="20"/>
              </w:rPr>
              <w:t xml:space="preserve">Entry Strategy</w:t>
            </w:r>
          </w:p>
        </w:tc>
        <w:tc>
          <w:tcPr>
            <w:tcW w:type="dxa" w:w="736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r>
              <w:rPr>
                <w:rFonts w:ascii="Arial" w:cs="Arial" w:eastAsia="Arial" w:hAnsi="Arial"/>
                <w:color w:val="222222"/>
                <w:sz w:val="19"/>
                <w:szCs w:val="19"/>
              </w:rPr>
              <w:t xml:space="preserve">Identify 3 flagship fleet operators on high-accident NH corridors (NH-44, NH-48, NH-16). Offer 30-truck free 60-day pilot with full data reporting. Sign paid contract post-pilot.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3C6E"/>
                <w:sz w:val="20"/>
                <w:szCs w:val="20"/>
              </w:rPr>
              <w:t xml:space="preserve">Target Customer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22222"/>
                <w:sz w:val="19"/>
                <w:szCs w:val="19"/>
              </w:rPr>
              <w:t xml:space="preserve">Mid-size logistics companies (100–300 trucks). Ideal: FMCG distribution, e-commerce last-mile, cement/steel haulage.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3C6E"/>
                <w:sz w:val="20"/>
                <w:szCs w:val="20"/>
              </w:rPr>
              <w:t xml:space="preserve">Distribution</w:t>
            </w:r>
          </w:p>
        </w:tc>
        <w:tc>
          <w:tcPr>
            <w:tcW w:type="dxa" w:w="736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r>
              <w:rPr>
                <w:rFonts w:ascii="Arial" w:cs="Arial" w:eastAsia="Arial" w:hAnsi="Arial"/>
                <w:color w:val="222222"/>
                <w:sz w:val="19"/>
                <w:szCs w:val="19"/>
              </w:rPr>
              <w:t xml:space="preserve">Direct B2B sales (2-person founder-led sales). Partner with fleet management software providers (Letstrack, Fleetx) for co-sell. Attend Excon, ACMA Automechanika.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3C6E"/>
                <w:sz w:val="20"/>
                <w:szCs w:val="20"/>
              </w:rPr>
              <w:t xml:space="preserve">Pricing Model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22222"/>
                <w:sz w:val="19"/>
                <w:szCs w:val="19"/>
              </w:rPr>
              <w:t xml:space="preserve">₹3,000–4,500/truck/month SaaS + hardware lease (₹0 upfront). Hardware cost recovered in months 3–18. Offer 12-month contract with 2-month 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3C6E"/>
                <w:sz w:val="20"/>
                <w:szCs w:val="20"/>
              </w:rPr>
              <w:t xml:space="preserve">Key Partners</w:t>
            </w:r>
          </w:p>
        </w:tc>
        <w:tc>
          <w:tcPr>
            <w:tcW w:type="dxa" w:w="736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r>
              <w:rPr>
                <w:rFonts w:ascii="Arial" w:cs="Arial" w:eastAsia="Arial" w:hAnsi="Arial"/>
                <w:color w:val="222222"/>
                <w:sz w:val="19"/>
                <w:szCs w:val="19"/>
              </w:rPr>
              <w:t xml:space="preserve">ICICI Lombard / Bajaj Allianz (insurance discount co-program). Tata Motors / Ashok Leyland (factory fit pipeline). National Highways Authority of India (data sharing MoU).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3C6E"/>
                <w:sz w:val="20"/>
                <w:szCs w:val="20"/>
              </w:rPr>
              <w:t xml:space="preserve">Key Metrics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22222"/>
                <w:sz w:val="19"/>
                <w:szCs w:val="19"/>
              </w:rPr>
              <w:t xml:space="preserve">Units deployed · Daily active data streams · Near-miss events logged · Customer churn rate · NPS from fleet operators · Cost per unit deployed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3C6E"/>
                <w:sz w:val="20"/>
                <w:szCs w:val="20"/>
              </w:rPr>
              <w:t xml:space="preserve">Fundraising Story</w:t>
            </w:r>
          </w:p>
        </w:tc>
        <w:tc>
          <w:tcPr>
            <w:tcW w:type="dxa" w:w="736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r>
              <w:rPr>
                <w:rFonts w:ascii="Arial" w:cs="Arial" w:eastAsia="Arial" w:hAnsi="Arial"/>
                <w:color w:val="222222"/>
                <w:sz w:val="19"/>
                <w:szCs w:val="19"/>
              </w:rPr>
              <w:t xml:space="preserve">Seed / pre-Series A: ₹5–8 Cr. Use to: build 1,000 unit production run, hire 4 sales + 2 field engineers, fund 3 pilots.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5E6A" w:val="clear"/>
            <w:tcMar>
              <w:top w:type="dxa" w:w="160"/>
              <w:left w:type="dxa" w:w="280"/>
              <w:bottom w:type="dxa" w:w="160"/>
              <w:right w:type="dxa" w:w="280"/>
            </w:tcMar>
          </w:tcPr>
          <w:p>
            <w:pPr>
              <w:jc w:val="left"/>
            </w:pPr>
            <w:r>
              <w:rPr>
                <w:rFonts w:ascii="Arial" w:cs="Arial" w:eastAsia="Arial" w:hAnsi="Arial"/>
                <w:b/>
                <w:bCs/>
                <w:color w:val="FFFFFF"/>
                <w:sz w:val="28"/>
                <w:szCs w:val="28"/>
              </w:rPr>
              <w:t xml:space="preserve">PHASE 2 · Months 18–36 · Buses: Scale + Credibility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F5E6A" w:val="clear"/>
            <w:tcMar>
              <w:top w:type="dxa" w:w="80"/>
              <w:left w:type="dxa" w:w="160"/>
              <w:bottom w:type="dxa" w:w="80"/>
              <w:right w:type="dxa" w:w="160"/>
            </w:tcMar>
          </w:tcPr>
          <w:p>
            <w:r>
              <w:rPr>
                <w:rFonts w:ascii="Arial" w:cs="Arial" w:eastAsia="Arial" w:hAnsi="Arial"/>
                <w:b/>
                <w:bCs/>
                <w:color w:val="FFFFFF"/>
                <w:sz w:val="20"/>
                <w:szCs w:val="20"/>
              </w:rPr>
              <w:t xml:space="preserve">OBJECTIVE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22222"/>
                <w:sz w:val="19"/>
                <w:szCs w:val="19"/>
              </w:rPr>
              <w:t xml:space="preserve">Scale to 5,000–15,000 units. Enter bus segment. Build brand. Pursue Series 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3C6E"/>
                <w:sz w:val="20"/>
                <w:szCs w:val="20"/>
              </w:rPr>
              <w:t xml:space="preserve">Entry Strategy</w:t>
            </w:r>
          </w:p>
        </w:tc>
        <w:tc>
          <w:tcPr>
            <w:tcW w:type="dxa" w:w="736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r>
              <w:rPr>
                <w:rFonts w:ascii="Arial" w:cs="Arial" w:eastAsia="Arial" w:hAnsi="Arial"/>
                <w:color w:val="222222"/>
                <w:sz w:val="19"/>
                <w:szCs w:val="19"/>
              </w:rPr>
              <w:t xml:space="preserve">Leverage truck case studies to enter private intercity bus operators. Target KSRTC / MSRTC state tenders as credibility milestones (even at thin margin).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3C6E"/>
                <w:sz w:val="20"/>
                <w:szCs w:val="20"/>
              </w:rPr>
              <w:t xml:space="preserve">Target Customer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22222"/>
                <w:sz w:val="19"/>
                <w:szCs w:val="19"/>
              </w:rPr>
              <w:t xml:space="preserve">Private bus operators (20–200 buses): Prasanna Purple, VRL Travels, SRM Travels. School bus contractors in Tier 1 cities (high parent pressure on safety).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3C6E"/>
                <w:sz w:val="20"/>
                <w:szCs w:val="20"/>
              </w:rPr>
              <w:t xml:space="preserve">Distribution</w:t>
            </w:r>
          </w:p>
        </w:tc>
        <w:tc>
          <w:tcPr>
            <w:tcW w:type="dxa" w:w="736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r>
              <w:rPr>
                <w:rFonts w:ascii="Arial" w:cs="Arial" w:eastAsia="Arial" w:hAnsi="Arial"/>
                <w:color w:val="222222"/>
                <w:sz w:val="19"/>
                <w:szCs w:val="19"/>
              </w:rPr>
              <w:t xml:space="preserve">Appoint 5 regional channel partners (auto tech distributors). Co-sell with insurance brokers. Integrate with AIS-140 GPS vendors for upsell.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3C6E"/>
                <w:sz w:val="20"/>
                <w:szCs w:val="20"/>
              </w:rPr>
              <w:t xml:space="preserve">Pricing Model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22222"/>
                <w:sz w:val="19"/>
                <w:szCs w:val="19"/>
              </w:rPr>
              <w:t xml:space="preserve">₹4,000–6,000/bus/month for private operators. State tenders: revenue share model. School buses: ₹2,500/bus/month (volume).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3C6E"/>
                <w:sz w:val="20"/>
                <w:szCs w:val="20"/>
              </w:rPr>
              <w:t xml:space="preserve">Key Partners</w:t>
            </w:r>
          </w:p>
        </w:tc>
        <w:tc>
          <w:tcPr>
            <w:tcW w:type="dxa" w:w="736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r>
              <w:rPr>
                <w:rFonts w:ascii="Arial" w:cs="Arial" w:eastAsia="Arial" w:hAnsi="Arial"/>
                <w:color w:val="222222"/>
                <w:sz w:val="19"/>
                <w:szCs w:val="19"/>
              </w:rPr>
              <w:t xml:space="preserve">School bus aggregators (Chalo, HopOn). Tourism vehicle operators. Ministry of Road Transport &amp; Highways for policy advocacy. IIIT Hyderabad / IIT for AI research partnership.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3C6E"/>
                <w:sz w:val="20"/>
                <w:szCs w:val="20"/>
              </w:rPr>
              <w:t xml:space="preserve">Key Metrics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22222"/>
                <w:sz w:val="19"/>
                <w:szCs w:val="19"/>
              </w:rPr>
              <w:t xml:space="preserve">Total fleet size managed · Revenue per customer · Insurance discount $ unlocked · AI model accuracy (false positive rate &lt; 5%) · Media mentions / government citations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3C6E"/>
                <w:sz w:val="20"/>
                <w:szCs w:val="20"/>
              </w:rPr>
              <w:t xml:space="preserve">Fundraising Story</w:t>
            </w:r>
          </w:p>
        </w:tc>
        <w:tc>
          <w:tcPr>
            <w:tcW w:type="dxa" w:w="736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r>
              <w:rPr>
                <w:rFonts w:ascii="Arial" w:cs="Arial" w:eastAsia="Arial" w:hAnsi="Arial"/>
                <w:color w:val="222222"/>
                <w:sz w:val="19"/>
                <w:szCs w:val="19"/>
              </w:rPr>
              <w:t xml:space="preserve">Series A: ₹25–40 Cr. Proof: 8,000 units live, ₹15 Cr ARR, &lt;3% monthly churn, insurance partner paying data royalties.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D7A" w:val="clear"/>
            <w:tcMar>
              <w:top w:type="dxa" w:w="160"/>
              <w:left w:type="dxa" w:w="280"/>
              <w:bottom w:type="dxa" w:w="160"/>
              <w:right w:type="dxa" w:w="280"/>
            </w:tcMar>
          </w:tcPr>
          <w:p>
            <w:pPr>
              <w:jc w:val="left"/>
            </w:pPr>
            <w:r>
              <w:rPr>
                <w:rFonts w:ascii="Arial" w:cs="Arial" w:eastAsia="Arial" w:hAnsi="Arial"/>
                <w:b/>
                <w:bCs/>
                <w:color w:val="FFFFFF"/>
                <w:sz w:val="28"/>
                <w:szCs w:val="28"/>
              </w:rPr>
              <w:t xml:space="preserve">PHASE 3 · Month 36+ · Cars: Mass Market Domination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4A2D7A" w:val="clear"/>
            <w:tcMar>
              <w:top w:type="dxa" w:w="80"/>
              <w:left w:type="dxa" w:w="160"/>
              <w:bottom w:type="dxa" w:w="80"/>
              <w:right w:type="dxa" w:w="160"/>
            </w:tcMar>
          </w:tcPr>
          <w:p>
            <w:r>
              <w:rPr>
                <w:rFonts w:ascii="Arial" w:cs="Arial" w:eastAsia="Arial" w:hAnsi="Arial"/>
                <w:b/>
                <w:bCs/>
                <w:color w:val="FFFFFF"/>
                <w:sz w:val="20"/>
                <w:szCs w:val="20"/>
              </w:rPr>
              <w:t xml:space="preserve">OBJECTIVE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22222"/>
                <w:sz w:val="19"/>
                <w:szCs w:val="19"/>
              </w:rPr>
              <w:t xml:space="preserve">10,00,000+ units. OEM partnerships. Consumer product launch. Data monetization.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3C6E"/>
                <w:sz w:val="20"/>
                <w:szCs w:val="20"/>
              </w:rPr>
              <w:t xml:space="preserve">Entry Strategy</w:t>
            </w:r>
          </w:p>
        </w:tc>
        <w:tc>
          <w:tcPr>
            <w:tcW w:type="dxa" w:w="736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r>
              <w:rPr>
                <w:rFonts w:ascii="Arial" w:cs="Arial" w:eastAsia="Arial" w:hAnsi="Arial"/>
                <w:color w:val="222222"/>
                <w:sz w:val="19"/>
                <w:szCs w:val="19"/>
              </w:rPr>
              <w:t xml:space="preserve">Do NOT launch direct-to-consumer first. Approach Maruti Suzuki, Tata Motors, Hyundai India for OEM white-label partnership. Simultaneously launch on Amazon/Flipkart for early adopters.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3C6E"/>
                <w:sz w:val="20"/>
                <w:szCs w:val="20"/>
              </w:rPr>
              <w:t xml:space="preserve">Target Customer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22222"/>
                <w:sz w:val="19"/>
                <w:szCs w:val="19"/>
              </w:rPr>
              <w:t xml:space="preserve">Families with new drivers. Rideshare fleets (Ola, Uber). Used car buyers. Young professionals in Tier 1 cities.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3C6E"/>
                <w:sz w:val="20"/>
                <w:szCs w:val="20"/>
              </w:rPr>
              <w:t xml:space="preserve">Distribution</w:t>
            </w:r>
          </w:p>
        </w:tc>
        <w:tc>
          <w:tcPr>
            <w:tcW w:type="dxa" w:w="736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r>
              <w:rPr>
                <w:rFonts w:ascii="Arial" w:cs="Arial" w:eastAsia="Arial" w:hAnsi="Arial"/>
                <w:color w:val="222222"/>
                <w:sz w:val="19"/>
                <w:szCs w:val="19"/>
              </w:rPr>
              <w:t xml:space="preserve">OEM pre-install (factory + accessory). D2C via e-commerce. Auto service chains (Bosch Car Service, CEAT). Insurance bundling as lead-gen.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3C6E"/>
                <w:sz w:val="20"/>
                <w:szCs w:val="20"/>
              </w:rPr>
              <w:t xml:space="preserve">Pricing Model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22222"/>
                <w:sz w:val="19"/>
                <w:szCs w:val="19"/>
              </w:rPr>
              <w:t xml:space="preserve">₹799–1,499/month consumer subscription + ₹5,999 device. OEM: ₹4,000–6,000 per vehicle (volume). Insurance data license: ₹50–200/vehicle/year.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3C6E"/>
                <w:sz w:val="20"/>
                <w:szCs w:val="20"/>
              </w:rPr>
              <w:t xml:space="preserve">Key Partners</w:t>
            </w:r>
          </w:p>
        </w:tc>
        <w:tc>
          <w:tcPr>
            <w:tcW w:type="dxa" w:w="736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r>
              <w:rPr>
                <w:rFonts w:ascii="Arial" w:cs="Arial" w:eastAsia="Arial" w:hAnsi="Arial"/>
                <w:color w:val="222222"/>
                <w:sz w:val="19"/>
                <w:szCs w:val="19"/>
              </w:rPr>
              <w:t xml:space="preserve">Maruti Suzuki TrueConnect / Tata Connected Vehicles. Policybazaar / Acko for insurance distribution. Google Maps / NHAI for real-time hazard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3C6E"/>
                <w:sz w:val="20"/>
                <w:szCs w:val="20"/>
              </w:rPr>
              <w:t xml:space="preserve">Key Metrics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22222"/>
                <w:sz w:val="19"/>
                <w:szCs w:val="19"/>
              </w:rPr>
              <w:t xml:space="preserve">Consumer NPS &gt; 55 · Monthly active users · Data revenue as % of total · OEM pipeline value · International pilot (UAE, SEA, Africa)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3C6E"/>
                <w:sz w:val="20"/>
                <w:szCs w:val="20"/>
              </w:rPr>
              <w:t xml:space="preserve">Fundraising Story</w:t>
            </w:r>
          </w:p>
        </w:tc>
        <w:tc>
          <w:tcPr>
            <w:tcW w:type="dxa" w:w="736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r>
              <w:rPr>
                <w:rFonts w:ascii="Arial" w:cs="Arial" w:eastAsia="Arial" w:hAnsi="Arial"/>
                <w:color w:val="222222"/>
                <w:sz w:val="19"/>
                <w:szCs w:val="19"/>
              </w:rPr>
              <w:t xml:space="preserve">Series B/C: ₹150–300 Cr. Story: dominant fleet safety platform expanding to consumer + data. Path to international markets.</w:t>
            </w:r>
          </w:p>
        </w:tc>
      </w:tr>
    </w:tbl>
    <w:p>
      <w:r>
        <w:br w:type="page"/>
      </w:r>
    </w:p>
    <w:p>
      <w:pPr>
        <w:spacing w:before="120" w:after="0"/>
      </w:pPr>
      <w:r>
        <w:t xml:space="preserve"/>
      </w:r>
    </w:p>
    <w:p>
      <w:pPr>
        <w:pStyle w:val="Heading1"/>
        <w:pBdr>
          <w:bottom w:val="single" w:color="E85D20" w:sz="8" w:space="4"/>
        </w:pBdr>
        <w:spacing w:before="360" w:after="120"/>
      </w:pPr>
      <w:r>
        <w:rPr>
          <w:rFonts w:ascii="Arial" w:cs="Arial" w:eastAsia="Arial" w:hAnsi="Arial"/>
          <w:b/>
          <w:bCs/>
          <w:color w:val="1A3C6E"/>
          <w:sz w:val="36"/>
          <w:szCs w:val="36"/>
        </w:rPr>
        <w:t xml:space="preserve">5. Data Moat Strategy</w:t>
      </w:r>
    </w:p>
    <w:p>
      <w:pPr>
        <w:spacing w:before="40" w:after="0"/>
      </w:pPr>
      <w:r>
        <w:t xml:space="preserve"/>
      </w:r>
    </w:p>
    <w:p>
      <w:pPr>
        <w:spacing w:before="60" w:after="80"/>
      </w:pPr>
      <w:r>
        <w:rPr>
          <w:rFonts w:ascii="Arial" w:cs="Arial" w:eastAsia="Arial" w:hAnsi="Arial"/>
          <w:color w:val="222222"/>
          <w:sz w:val="22"/>
          <w:szCs w:val="22"/>
        </w:rPr>
        <w:t xml:space="preserve">The most defensible asset Garuda will ever build is not its hardware or its AI model. It is the proprietary driving dataset collected from Indian roads, Indian drivers, Indian conditions. This is the moat that no competitor can buy.</w:t>
      </w:r>
    </w:p>
    <w:p>
      <w:pPr>
        <w:spacing w:before="80" w:after="0"/>
      </w:pPr>
      <w:r>
        <w:t xml:space="preserve"/>
      </w:r>
    </w:p>
    <w:p>
      <w:pPr>
        <w:pStyle w:val="Heading2"/>
        <w:spacing w:before="280" w:after="80"/>
      </w:pPr>
      <w:r>
        <w:rPr>
          <w:rFonts w:ascii="Arial" w:cs="Arial" w:eastAsia="Arial" w:hAnsi="Arial"/>
          <w:b/>
          <w:bCs/>
          <w:color w:val="1A3C6E"/>
          <w:sz w:val="26"/>
          <w:szCs w:val="26"/>
        </w:rPr>
        <w:t xml:space="preserve">Why the Truck Data is Uniquely Valuable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Data Dimension</w:t>
            </w:r>
          </w:p>
        </w:tc>
        <w:tc>
          <w:tcPr>
            <w:tcW w:type="dxa" w:w="61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Indian road topology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Unpaved sections, unmarked junctions, cattle crossings, wrong-way drivers — these do not exist in Western datasets (Waymo, Tesla)</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Driver behavior patterns</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Aggressive overtaking, fatigue at night on NH routes, overloading — model learns local risk signatures that global models miss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BLE vehicle mesh 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Creates a crowdsourced hazard layer that becomes more accurate as the fleet grows — unique to Garuda's architecture</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Weather + road condition correlation</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Monsoon braking behavior, fog on NH-1 in winter — creates hyper-local accident risk maps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Near-miss event library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Every near-miss logged is a labeled training example. 500 trucks × 16 hrs/day × 365 days = hundreds of millions of events/year</w:t>
            </w:r>
          </w:p>
        </w:tc>
      </w:tr>
    </w:tbl>
    <w:p>
      <w:pPr>
        <w:spacing w:before="80" w:after="0"/>
      </w:pPr>
      <w:r>
        <w:t xml:space="preserve"/>
      </w:r>
    </w:p>
    <w:p>
      <w:pPr>
        <w:pStyle w:val="Heading2"/>
        <w:spacing w:before="280" w:after="80"/>
      </w:pPr>
      <w:r>
        <w:rPr>
          <w:rFonts w:ascii="Arial" w:cs="Arial" w:eastAsia="Arial" w:hAnsi="Arial"/>
          <w:b/>
          <w:bCs/>
          <w:color w:val="1A3C6E"/>
          <w:sz w:val="26"/>
          <w:szCs w:val="26"/>
        </w:rPr>
        <w:t xml:space="preserve">The Compounding Advantage</w:t>
      </w:r>
    </w:p>
    <w:p>
      <w:pPr>
        <w:spacing w:before="40" w:after="0"/>
      </w:pPr>
      <w:r>
        <w:t xml:space="preserve"/>
      </w:r>
    </w:p>
    <w:p>
      <w:pPr>
        <w:pStyle w:val="ListParagraph"/>
        <w:numPr>
          <w:ilvl w:val="0"/>
          <w:numId w:val="2"/>
        </w:numPr>
        <w:spacing w:before="40" w:after="40"/>
      </w:pPr>
      <w:r>
        <w:rPr>
          <w:rFonts w:ascii="Arial" w:cs="Arial" w:eastAsia="Arial" w:hAnsi="Arial"/>
          <w:color w:val="222222"/>
          <w:sz w:val="22"/>
          <w:szCs w:val="22"/>
        </w:rPr>
        <w:t xml:space="preserve">Month 6: 500 trucks deployed → model starts outperforming generic ADAS on Indian highways.</w:t>
      </w:r>
    </w:p>
    <w:p>
      <w:pPr>
        <w:pStyle w:val="ListParagraph"/>
        <w:numPr>
          <w:ilvl w:val="0"/>
          <w:numId w:val="2"/>
        </w:numPr>
        <w:spacing w:before="40" w:after="40"/>
      </w:pPr>
      <w:r>
        <w:rPr>
          <w:rFonts w:ascii="Arial" w:cs="Arial" w:eastAsia="Arial" w:hAnsi="Arial"/>
          <w:color w:val="222222"/>
          <w:sz w:val="22"/>
          <w:szCs w:val="22"/>
        </w:rPr>
        <w:t xml:space="preserve">Month 18: 5,000 trucks → model can predict route-level accident probability by time of day. No competitor has this.</w:t>
      </w:r>
    </w:p>
    <w:p>
      <w:pPr>
        <w:pStyle w:val="ListParagraph"/>
        <w:numPr>
          <w:ilvl w:val="0"/>
          <w:numId w:val="2"/>
        </w:numPr>
        <w:spacing w:before="40" w:after="40"/>
      </w:pPr>
      <w:r>
        <w:rPr>
          <w:rFonts w:ascii="Arial" w:cs="Arial" w:eastAsia="Arial" w:hAnsi="Arial"/>
          <w:color w:val="222222"/>
          <w:sz w:val="22"/>
          <w:szCs w:val="22"/>
        </w:rPr>
        <w:t xml:space="preserve">Month 36: 50,000 vehicles → Garuda is the de facto standard for Indian road risk data. Insurers, OEMs, and government agencies will pay for this data.</w:t>
      </w:r>
    </w:p>
    <w:p>
      <w:pPr>
        <w:pStyle w:val="ListParagraph"/>
        <w:numPr>
          <w:ilvl w:val="0"/>
          <w:numId w:val="2"/>
        </w:numPr>
        <w:spacing w:before="40" w:after="40"/>
      </w:pPr>
      <w:r>
        <w:rPr>
          <w:rFonts w:ascii="Arial" w:cs="Arial" w:eastAsia="Arial" w:hAnsi="Arial"/>
          <w:color w:val="222222"/>
          <w:sz w:val="22"/>
          <w:szCs w:val="22"/>
        </w:rPr>
        <w:t xml:space="preserve">Year 5: 500,000+ vehicles → the dataset becomes a national safety infrastructure asset. Acquisition target or IPO.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20" w:sz="1"/>
              <w:left w:val="single" w:color="E85D20" w:sz="16"/>
              <w:bottom w:val="none" w:color="FFFFFF" w:sz="0"/>
              <w:right w:val="none" w:color="FFFFFF" w:sz="0"/>
            </w:tcBorders>
            <w:shd w:fill="FFF0EA" w:val="clear"/>
            <w:tcMar>
              <w:top w:type="dxa" w:w="100"/>
              <w:left w:type="dxa" w:w="240"/>
              <w:bottom w:type="dxa" w:w="20"/>
              <w:right w:type="dxa" w:w="240"/>
            </w:tcMar>
          </w:tcPr>
          <w:p>
            <w:r>
              <w:rPr>
                <w:rFonts w:ascii="Arial" w:cs="Arial" w:eastAsia="Arial" w:hAnsi="Arial"/>
                <w:b/>
                <w:bCs/>
                <w:color w:val="E85D20"/>
                <w:sz w:val="22"/>
                <w:szCs w:val="22"/>
              </w:rPr>
              <w:t xml:space="preserve">Why Competitors Cannot Replicate</w:t>
            </w:r>
          </w:p>
        </w:tc>
      </w:tr>
      <w:tr>
        <w:tc>
          <w:tcPr>
            <w:tcW w:type="dxa" w:w="9360"/>
            <w:tcBorders>
              <w:top w:val="none" w:color="FFFFFF" w:sz="0"/>
              <w:left w:val="single" w:color="E85D20" w:sz="16"/>
              <w:bottom w:val="single" w:color="E85D20" w:sz="1"/>
              <w:right w:val="none" w:color="FFFFFF" w:sz="0"/>
            </w:tcBorders>
            <w:shd w:fill="FFF0EA" w:val="clear"/>
            <w:tcMar>
              <w:top w:type="dxa" w:w="20"/>
              <w:left w:type="dxa" w:w="240"/>
              <w:bottom w:type="dxa" w:w="100"/>
              <w:right w:type="dxa" w:w="240"/>
            </w:tcMar>
          </w:tcPr>
          <w:p>
            <w:r>
              <w:rPr>
                <w:rFonts w:ascii="Arial" w:cs="Arial" w:eastAsia="Arial" w:hAnsi="Arial"/>
                <w:color w:val="333333"/>
                <w:sz w:val="20"/>
                <w:szCs w:val="20"/>
              </w:rPr>
              <w:t xml:space="preserve">Mobileye and Bosch have global data but not India-specific data. A new Indian entrant starting in Year 3 faces a 3-year data deficit that takes 3 more years to close — by which time Garuda is 6 years ahead. Data moats compound. This is the core of the investment thesis.</w:t>
            </w:r>
          </w:p>
        </w:tc>
      </w:tr>
    </w:tbl>
    <w:p>
      <w:r>
        <w:br w:type="page"/>
      </w:r>
    </w:p>
    <w:p>
      <w:pPr>
        <w:spacing w:before="120" w:after="0"/>
      </w:pPr>
      <w:r>
        <w:t xml:space="preserve"/>
      </w:r>
    </w:p>
    <w:p>
      <w:pPr>
        <w:pStyle w:val="Heading1"/>
        <w:pBdr>
          <w:bottom w:val="single" w:color="E85D20" w:sz="8" w:space="4"/>
        </w:pBdr>
        <w:spacing w:before="360" w:after="120"/>
      </w:pPr>
      <w:r>
        <w:rPr>
          <w:rFonts w:ascii="Arial" w:cs="Arial" w:eastAsia="Arial" w:hAnsi="Arial"/>
          <w:b/>
          <w:bCs/>
          <w:color w:val="1A3C6E"/>
          <w:sz w:val="36"/>
          <w:szCs w:val="36"/>
        </w:rPr>
        <w:t xml:space="preserve">6. Risks &amp; Mitigation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Risk Category</w:t>
            </w:r>
          </w:p>
        </w:tc>
        <w:tc>
          <w:tcPr>
            <w:tcW w:type="dxa" w:w="30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Specific Risk</w:t>
            </w:r>
          </w:p>
        </w:tc>
        <w:tc>
          <w:tcPr>
            <w:tcW w:type="dxa" w:w="43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Adoption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Fleet operators skeptical without proof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Free 30-truck pilot with full dashboard. Let data do the selling. One convinced operator = referral chain.</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Hardware</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Device failure, tamper, harsh environment</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IP67 rating, vibration-tested housing. Remote diagnostics. 48hr replacement SLA. Hardware-as-a-service model removes upfront risk.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Driver Resistance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Drivers disable or circumvent device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Position as driver scorecard (gamify top-10 safest drivers gets bonus). Tamper-evident seal. BLE peer device validates activity.</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Regulatory</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No mandate = no urgency</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Partner with insurance companies to create financial urgency (10% premium cut). Lobby for AIS-140 extension to include fatigue detection.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Competition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Well-funded competitor copies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Data moat + local language interface + offline BLE mesh cannot be copied quickly. First-mover in India fleet = lock-in.</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Unit Economics</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Hardware COGS too high at low scale</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Target ₹6,000–8,000 COGS at 500 units. ₹3,000–4,000 at 5,000 units. Lease model delays cash impact. Seek SIDBI / Startup India hardware subsidy.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Talent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AI/ML + embedded hardware is hard to staff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Partner with IIT/IIIT for research. Hire experienced automotive embedded engineers. Retain with equity. Outsource PCB manufacturing initially.</w:t>
            </w:r>
          </w:p>
        </w:tc>
      </w:tr>
    </w:tbl>
    <w:p>
      <w:r>
        <w:br w:type="page"/>
      </w:r>
    </w:p>
    <w:p>
      <w:pPr>
        <w:spacing w:before="120" w:after="0"/>
      </w:pPr>
      <w:r>
        <w:t xml:space="preserve"/>
      </w:r>
    </w:p>
    <w:p>
      <w:pPr>
        <w:pStyle w:val="Heading1"/>
        <w:pBdr>
          <w:bottom w:val="single" w:color="E85D20" w:sz="8" w:space="4"/>
        </w:pBdr>
        <w:spacing w:before="360" w:after="120"/>
      </w:pPr>
      <w:r>
        <w:rPr>
          <w:rFonts w:ascii="Arial" w:cs="Arial" w:eastAsia="Arial" w:hAnsi="Arial"/>
          <w:b/>
          <w:bCs/>
          <w:color w:val="1A3C6E"/>
          <w:sz w:val="36"/>
          <w:szCs w:val="36"/>
        </w:rPr>
        <w:t xml:space="preserve">7. Competitive Advantage &amp; Moat</w:t>
      </w:r>
    </w:p>
    <w:p>
      <w:pPr>
        <w:spacing w:before="80" w:after="0"/>
      </w:pPr>
      <w:r>
        <w:t xml:space="preserve"/>
      </w:r>
    </w:p>
    <w:p>
      <w:pPr>
        <w:pStyle w:val="Heading2"/>
        <w:spacing w:before="280" w:after="80"/>
      </w:pPr>
      <w:r>
        <w:rPr>
          <w:rFonts w:ascii="Arial" w:cs="Arial" w:eastAsia="Arial" w:hAnsi="Arial"/>
          <w:b/>
          <w:bCs/>
          <w:color w:val="1A3C6E"/>
          <w:sz w:val="26"/>
          <w:szCs w:val="26"/>
        </w:rPr>
        <w:t xml:space="preserve">Why Garuda Becomes Defensible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Moat Type</w:t>
            </w:r>
          </w:p>
        </w:tc>
        <w:tc>
          <w:tcPr>
            <w:tcW w:type="dxa" w:w="65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How Garuda Builds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Data Moat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100M+ km of Indian road data by Year 3. No competitor can fast-follow without deploying equivalent hardware at equivalent scale.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Network Effect</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BLE mesh means each new vehicle improves the hazard layer for all existing vehicles. Non-linear value growth.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Switching 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Fleet operator has 12+ months of driver behavior history, safety reports, and insurance integration. Switching means losing all history.</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Regulatory Moat</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First to co-develop safety standards with MoRTH / NHAI becomes the reference implementation for any future mandate.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Brand Moat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"Garuda" becomes synonymous with road safety in India — similar to how Volvo owns safety in consumer perception globally.</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Distribution Moat</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Channel partner network + insurance co-sell creates a multi-sided platform that is expensive to replicate.</w:t>
            </w:r>
          </w:p>
        </w:tc>
      </w:tr>
    </w:tbl>
    <w:p>
      <w:pPr>
        <w:spacing w:before="80" w:after="0"/>
      </w:pPr>
      <w:r>
        <w:t xml:space="preserve"/>
      </w:r>
    </w:p>
    <w:p>
      <w:pPr>
        <w:pStyle w:val="Heading2"/>
        <w:spacing w:before="280" w:after="80"/>
      </w:pPr>
      <w:r>
        <w:rPr>
          <w:rFonts w:ascii="Arial" w:cs="Arial" w:eastAsia="Arial" w:hAnsi="Arial"/>
          <w:b/>
          <w:bCs/>
          <w:color w:val="1A3C6E"/>
          <w:sz w:val="26"/>
          <w:szCs w:val="26"/>
        </w:rPr>
        <w:t xml:space="preserve">Competitive Landscape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65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Weakness vs. Garuda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Mobileye (Intel)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Priced for premium OEM. No India road training data. No offline BLE. No Hindi/Telugu voice. Minimum ₹40,000 per vehicle.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Bosch ADAS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Retrofit-unfriendly. No fleet SaaS layer. No Indian SME sales motion. Hardware-only, no data play.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Intellicar / Letstrack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GPS tracking only. No AI prediction. No driver monitoring. No accident prevention — reactive, not predictive.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Ola Electric / Tata ADAS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OEM-only. Cannot retrofit existing fleet of 10M+ commercial vehicles. Not an independent platform.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New Entrant (funded)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3-year data deficit. Garuda's network effect makes every month of lead time more valuable, not less.</w:t>
            </w:r>
          </w:p>
        </w:tc>
      </w:tr>
    </w:tbl>
    <w:p>
      <w:r>
        <w:br w:type="page"/>
      </w:r>
    </w:p>
    <w:p>
      <w:pPr>
        <w:spacing w:before="120" w:after="0"/>
      </w:pPr>
      <w:r>
        <w:t xml:space="preserve"/>
      </w:r>
    </w:p>
    <w:p>
      <w:pPr>
        <w:pStyle w:val="Heading1"/>
        <w:pBdr>
          <w:bottom w:val="single" w:color="E85D20" w:sz="8" w:space="4"/>
        </w:pBdr>
        <w:spacing w:before="360" w:after="120"/>
      </w:pPr>
      <w:r>
        <w:rPr>
          <w:rFonts w:ascii="Arial" w:cs="Arial" w:eastAsia="Arial" w:hAnsi="Arial"/>
          <w:b/>
          <w:bCs/>
          <w:color w:val="1A3C6E"/>
          <w:sz w:val="36"/>
          <w:szCs w:val="36"/>
        </w:rPr>
        <w:t xml:space="preserve">8. Improvements &amp; Refinements</w:t>
      </w:r>
    </w:p>
    <w:p>
      <w:pPr>
        <w:spacing w:before="80" w:after="0"/>
      </w:pPr>
      <w:r>
        <w:t xml:space="preserve"/>
      </w:r>
    </w:p>
    <w:p>
      <w:pPr>
        <w:pStyle w:val="Heading2"/>
        <w:spacing w:before="280" w:after="80"/>
      </w:pPr>
      <w:r>
        <w:rPr>
          <w:rFonts w:ascii="Arial" w:cs="Arial" w:eastAsia="Arial" w:hAnsi="Arial"/>
          <w:b/>
          <w:bCs/>
          <w:color w:val="1A3C6E"/>
          <w:sz w:val="26"/>
          <w:szCs w:val="26"/>
        </w:rPr>
        <w:t xml:space="preserve">Suggested Enhancements to the GTM</w:t>
      </w:r>
    </w:p>
    <w:p>
      <w:pPr>
        <w:spacing w:before="40" w:after="0"/>
      </w:pPr>
      <w:r>
        <w:t xml:space="preserve"/>
      </w:r>
    </w:p>
    <w:p>
      <w:pPr>
        <w:spacing w:before="200" w:after="60"/>
      </w:pPr>
      <w:r>
        <w:rPr>
          <w:rFonts w:ascii="Arial" w:cs="Arial" w:eastAsia="Arial" w:hAnsi="Arial"/>
          <w:b/>
          <w:bCs/>
          <w:color w:val="E85D20"/>
          <w:sz w:val="22"/>
          <w:szCs w:val="22"/>
        </w:rPr>
        <w:t xml:space="preserve">Add a 'Phase 0' — Insurance Partner Before First Sale</w:t>
      </w:r>
    </w:p>
    <w:p>
      <w:pPr>
        <w:spacing w:before="60" w:after="80"/>
      </w:pPr>
      <w:r>
        <w:rPr>
          <w:rFonts w:ascii="Arial" w:cs="Arial" w:eastAsia="Arial" w:hAnsi="Arial"/>
          <w:color w:val="222222"/>
          <w:sz w:val="22"/>
          <w:szCs w:val="22"/>
        </w:rPr>
        <w:t xml:space="preserve">Before deploying a single unit, sign a Letter of Intent with one insurance company (ICICI Lombard, Bajaj Allianz, or Acko) agreeing that Garuda-equipped fleets receive a 10–15% premium discount. This single move eliminates the 'willingness to pay' problem and gives the sales team a co-selling partner from day one.</w:t>
      </w:r>
    </w:p>
    <w:p>
      <w:pPr>
        <w:spacing w:before="60" w:after="0"/>
      </w:pPr>
      <w:r>
        <w:t xml:space="preserve"/>
      </w:r>
    </w:p>
    <w:p>
      <w:pPr>
        <w:spacing w:before="200" w:after="60"/>
      </w:pPr>
      <w:r>
        <w:rPr>
          <w:rFonts w:ascii="Arial" w:cs="Arial" w:eastAsia="Arial" w:hAnsi="Arial"/>
          <w:b/>
          <w:bCs/>
          <w:color w:val="E85D20"/>
          <w:sz w:val="22"/>
          <w:szCs w:val="22"/>
        </w:rPr>
        <w:t xml:space="preserve">Pilot Architecture: The 30/30/30 Model</w:t>
      </w:r>
    </w:p>
    <w:p>
      <w:pPr>
        <w:spacing w:before="60" w:after="80"/>
      </w:pPr>
      <w:r>
        <w:rPr>
          <w:rFonts w:ascii="Arial" w:cs="Arial" w:eastAsia="Arial" w:hAnsi="Arial"/>
          <w:color w:val="222222"/>
          <w:sz w:val="22"/>
          <w:szCs w:val="22"/>
        </w:rPr>
        <w:t xml:space="preserve">Structure every pilot as: 30 trucks, 30 days, 30% accident reduction target. If Garuda hits 30% reduction in near-miss events within 30 days, the fleet operator converts. Design the entire product experience around this conversion event.</w:t>
      </w:r>
    </w:p>
    <w:p>
      <w:pPr>
        <w:spacing w:before="60" w:after="0"/>
      </w:pPr>
      <w:r>
        <w:t xml:space="preserve"/>
      </w:r>
    </w:p>
    <w:p>
      <w:pPr>
        <w:spacing w:before="200" w:after="60"/>
      </w:pPr>
      <w:r>
        <w:rPr>
          <w:rFonts w:ascii="Arial" w:cs="Arial" w:eastAsia="Arial" w:hAnsi="Arial"/>
          <w:b/>
          <w:bCs/>
          <w:color w:val="E85D20"/>
          <w:sz w:val="22"/>
          <w:szCs w:val="22"/>
        </w:rPr>
        <w:t xml:space="preserve">Government Fleet as Brand Validator</w:t>
      </w:r>
    </w:p>
    <w:p>
      <w:pPr>
        <w:spacing w:before="60" w:after="80"/>
      </w:pPr>
      <w:r>
        <w:rPr>
          <w:rFonts w:ascii="Arial" w:cs="Arial" w:eastAsia="Arial" w:hAnsi="Arial"/>
          <w:color w:val="222222"/>
          <w:sz w:val="22"/>
          <w:szCs w:val="22"/>
        </w:rPr>
        <w:t xml:space="preserve">Approach NHAI Patrol Vehicles or State Police highway vehicles for a subsidized/free deployment. Government use creates credibility that money cannot buy — and generates press coverage that drives private fleet inquiries.</w:t>
      </w:r>
    </w:p>
    <w:p>
      <w:pPr>
        <w:spacing w:before="60" w:after="0"/>
      </w:pPr>
      <w:r>
        <w:t xml:space="preserve"/>
      </w:r>
    </w:p>
    <w:p>
      <w:pPr>
        <w:spacing w:before="200" w:after="60"/>
      </w:pPr>
      <w:r>
        <w:rPr>
          <w:rFonts w:ascii="Arial" w:cs="Arial" w:eastAsia="Arial" w:hAnsi="Arial"/>
          <w:b/>
          <w:bCs/>
          <w:color w:val="E85D20"/>
          <w:sz w:val="22"/>
          <w:szCs w:val="22"/>
        </w:rPr>
        <w:t xml:space="preserve">Consider Adding Mining &amp; Construction Vehicles (Phase 1 Parallel)</w:t>
      </w:r>
    </w:p>
    <w:p>
      <w:pPr>
        <w:spacing w:before="60" w:after="80"/>
      </w:pPr>
      <w:r>
        <w:rPr>
          <w:rFonts w:ascii="Arial" w:cs="Arial" w:eastAsia="Arial" w:hAnsi="Arial"/>
          <w:color w:val="222222"/>
          <w:sz w:val="22"/>
          <w:szCs w:val="22"/>
        </w:rPr>
        <w:t xml:space="preserve">Mining fleets (coal, iron ore) in Odisha, Jharkhand, and Chhattisgarh are high-accident, high-value, and extremely motivated buyers. They operate in low-connectivity environments (BLE offline is a specific advantage). A 200-vehicle mining fleet contract could fund an entire year of R&amp;D.</w:t>
      </w:r>
    </w:p>
    <w:p>
      <w:pPr>
        <w:spacing w:before="60" w:after="0"/>
      </w:pPr>
      <w:r>
        <w:t xml:space="preserve"/>
      </w:r>
    </w:p>
    <w:p>
      <w:pPr>
        <w:spacing w:before="200" w:after="60"/>
      </w:pPr>
      <w:r>
        <w:rPr>
          <w:rFonts w:ascii="Arial" w:cs="Arial" w:eastAsia="Arial" w:hAnsi="Arial"/>
          <w:b/>
          <w:bCs/>
          <w:color w:val="E85D20"/>
          <w:sz w:val="22"/>
          <w:szCs w:val="22"/>
        </w:rPr>
        <w:t xml:space="preserve">Driver App as a Separate Revenue Stream</w:t>
      </w:r>
    </w:p>
    <w:p>
      <w:pPr>
        <w:spacing w:before="60" w:after="80"/>
      </w:pPr>
      <w:r>
        <w:rPr>
          <w:rFonts w:ascii="Arial" w:cs="Arial" w:eastAsia="Arial" w:hAnsi="Arial"/>
          <w:color w:val="222222"/>
          <w:sz w:val="22"/>
          <w:szCs w:val="22"/>
        </w:rPr>
        <w:t xml:space="preserve">Build a driver-facing app with safety score, earnings multiplier (good safety = more trips), and accident insurance for individual drivers. This creates a B2C data stream alongside B2B and positions Garuda for a gig economy play (Uber, Rapido, Porter).</w:t>
      </w:r>
    </w:p>
    <w:p>
      <w:pPr>
        <w:spacing w:before="80" w:after="0"/>
      </w:pPr>
      <w:r>
        <w:t xml:space="preserve"/>
      </w:r>
    </w:p>
    <w:p>
      <w:pPr>
        <w:pStyle w:val="Heading2"/>
        <w:spacing w:before="280" w:after="80"/>
      </w:pPr>
      <w:r>
        <w:rPr>
          <w:rFonts w:ascii="Arial" w:cs="Arial" w:eastAsia="Arial" w:hAnsi="Arial"/>
          <w:b/>
          <w:bCs/>
          <w:color w:val="1A3C6E"/>
          <w:sz w:val="26"/>
          <w:szCs w:val="26"/>
        </w:rPr>
        <w:t xml:space="preserve">Key Partnerships to Pursue (Priority Order)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Partner Type</w:t>
            </w:r>
          </w:p>
        </w:tc>
        <w:tc>
          <w:tcPr>
            <w:tcW w:type="dxa" w:w="28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Specific Targets</w:t>
            </w:r>
          </w:p>
        </w:tc>
        <w:tc>
          <w:tcPr>
            <w:tcW w:type="dxa" w:w="45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Strategic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Insurance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ICICI Lombard, Acko, Bajaj Allianz</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Co-sell motion + data monetization + premium incentive for customers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Fleet Management SW</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Fleetx, Letstrack, Intellicar</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Distribution without building own sales channel; upsell to existing customer 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OEM (Truck)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Tata Motors, Ashok Leyland, Volvo India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Factory integration pipeline; credibility; volume scale in Phase 3</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Telematics/AIS-140</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Rosmerta Technologies, Eevia Space</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Regulatory compliance bundling; access to existing government tender relationships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Research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IIT Bombay, IIIT Hyderabad, IISc Bangalore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AI model development; credibility with investors; talent pipeline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Government</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MoRTH, NHAI, iRAD (Integrated Road Accident Database)</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Data partnership; regulatory influence; grant funding (DST, NITI Aayog)</w:t>
            </w:r>
          </w:p>
        </w:tc>
      </w:tr>
    </w:tbl>
    <w:p>
      <w:r>
        <w:br w:type="page"/>
      </w:r>
    </w:p>
    <w:p>
      <w:pPr>
        <w:spacing w:before="120" w:after="0"/>
      </w:pPr>
      <w:r>
        <w:t xml:space="preserve"/>
      </w:r>
    </w:p>
    <w:p>
      <w:pPr>
        <w:pStyle w:val="Heading1"/>
        <w:pBdr>
          <w:bottom w:val="single" w:color="E85D20" w:sz="8" w:space="4"/>
        </w:pBdr>
        <w:spacing w:before="360" w:after="120"/>
      </w:pPr>
      <w:r>
        <w:rPr>
          <w:rFonts w:ascii="Arial" w:cs="Arial" w:eastAsia="Arial" w:hAnsi="Arial"/>
          <w:b/>
          <w:bCs/>
          <w:color w:val="1A3C6E"/>
          <w:sz w:val="36"/>
          <w:szCs w:val="36"/>
        </w:rPr>
        <w:t xml:space="preserve">9. Investor Narrative</w:t>
      </w:r>
    </w:p>
    <w:p>
      <w:pPr>
        <w:spacing w:before="40" w:after="0"/>
      </w:pPr>
      <w:r>
        <w:t xml:space="preserve"/>
      </w:r>
    </w:p>
    <w:p>
      <w:pPr>
        <w:spacing w:before="60" w:after="80"/>
      </w:pPr>
      <w:r>
        <w:rPr>
          <w:rFonts w:ascii="Arial" w:cs="Arial" w:eastAsia="Arial" w:hAnsi="Arial"/>
          <w:color w:val="222222"/>
          <w:sz w:val="22"/>
          <w:szCs w:val="22"/>
        </w:rPr>
        <w:t xml:space="preserve">The following is the structured narrative for a VC pitch — covering the problem, the insight, the strategy, and the path to dominance.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D20" w:val="clear"/>
            <w:tcMar>
              <w:top w:type="dxa" w:w="160"/>
              <w:left w:type="dxa" w:w="280"/>
              <w:bottom w:type="dxa" w:w="160"/>
              <w:right w:type="dxa" w:w="280"/>
            </w:tcMar>
          </w:tcPr>
          <w:p>
            <w:pPr>
              <w:jc w:val="left"/>
            </w:pPr>
            <w:r>
              <w:rPr>
                <w:rFonts w:ascii="Arial" w:cs="Arial" w:eastAsia="Arial" w:hAnsi="Arial"/>
                <w:b/>
                <w:bCs/>
                <w:color w:val="FFFFFF"/>
                <w:sz w:val="28"/>
                <w:szCs w:val="28"/>
              </w:rPr>
              <w:t xml:space="preserve">THE PITCH NARRATIVE</w:t>
            </w:r>
          </w:p>
        </w:tc>
      </w:tr>
    </w:tbl>
    <w:p>
      <w:pPr>
        <w:spacing w:before="80" w:after="0"/>
      </w:pPr>
      <w:r>
        <w:t xml:space="preserve"/>
      </w:r>
    </w:p>
    <w:p>
      <w:pPr>
        <w:spacing w:before="200" w:after="60"/>
      </w:pPr>
      <w:r>
        <w:rPr>
          <w:rFonts w:ascii="Arial" w:cs="Arial" w:eastAsia="Arial" w:hAnsi="Arial"/>
          <w:b/>
          <w:bCs/>
          <w:color w:val="1A3C6E"/>
          <w:sz w:val="22"/>
          <w:szCs w:val="22"/>
        </w:rPr>
        <w:t xml:space="preserve">The Problem (Make It Feel Visceral)</w:t>
      </w:r>
    </w:p>
    <w:p>
      <w:pPr>
        <w:spacing w:before="60" w:after="80"/>
      </w:pPr>
      <w:r>
        <w:rPr>
          <w:rFonts w:ascii="Arial" w:cs="Arial" w:eastAsia="Arial" w:hAnsi="Arial"/>
          <w:color w:val="222222"/>
          <w:sz w:val="22"/>
          <w:szCs w:val="22"/>
        </w:rPr>
        <w:t xml:space="preserve">India is the world's most dangerous road nation. 1.7 lakh deaths per year. ₹1.47 lakh crore in economic loss annually — that is 0.7% of GDP. The majority of these accidents involve commercial vehicles. The existing solutions are either too expensive (Mobileye at ₹40,000+), too limited (GPS tracking that tells you where the accident happened, not that it was about to happen), or built for roads that are not ours.</w:t>
      </w:r>
    </w:p>
    <w:p>
      <w:pPr>
        <w:spacing w:before="80" w:after="0"/>
      </w:pPr>
      <w:r>
        <w:t xml:space="preserve"/>
      </w:r>
    </w:p>
    <w:p>
      <w:pPr>
        <w:spacing w:before="200" w:after="60"/>
      </w:pPr>
      <w:r>
        <w:rPr>
          <w:rFonts w:ascii="Arial" w:cs="Arial" w:eastAsia="Arial" w:hAnsi="Arial"/>
          <w:b/>
          <w:bCs/>
          <w:color w:val="1A3C6E"/>
          <w:sz w:val="22"/>
          <w:szCs w:val="22"/>
        </w:rPr>
        <w:t xml:space="preserve">The Insight (The Counter-Intuitive Truth)</w:t>
      </w:r>
    </w:p>
    <w:p>
      <w:pPr>
        <w:spacing w:before="60" w:after="80"/>
      </w:pPr>
      <w:r>
        <w:rPr>
          <w:rFonts w:ascii="Arial" w:cs="Arial" w:eastAsia="Arial" w:hAnsi="Arial"/>
          <w:color w:val="222222"/>
          <w:sz w:val="22"/>
          <w:szCs w:val="22"/>
        </w:rPr>
        <w:t xml:space="preserve">The opportunity is not a consumer safety gadget. It is a data infrastructure play dressed as a hardware product. The hardware gets us deployed. The data gets us defensible. The AI gets us dominant. We start with the segment that generates the most data, has the clearest ROI, and has concentrated, reachable buyers — commercial truck fleets.</w:t>
      </w:r>
    </w:p>
    <w:p>
      <w:pPr>
        <w:spacing w:before="80" w:after="0"/>
      </w:pPr>
      <w:r>
        <w:t xml:space="preserve"/>
      </w:r>
    </w:p>
    <w:p>
      <w:pPr>
        <w:spacing w:before="200" w:after="60"/>
      </w:pPr>
      <w:r>
        <w:rPr>
          <w:rFonts w:ascii="Arial" w:cs="Arial" w:eastAsia="Arial" w:hAnsi="Arial"/>
          <w:b/>
          <w:bCs/>
          <w:color w:val="1A3C6E"/>
          <w:sz w:val="22"/>
          <w:szCs w:val="22"/>
        </w:rPr>
        <w:t xml:space="preserve">Why Start With Trucks</w:t>
      </w:r>
    </w:p>
    <w:p>
      <w:pPr>
        <w:pStyle w:val="ListParagraph"/>
        <w:numPr>
          <w:ilvl w:val="0"/>
          <w:numId w:val="2"/>
        </w:numPr>
        <w:spacing w:before="40" w:after="40"/>
      </w:pPr>
      <w:r>
        <w:rPr>
          <w:rFonts w:ascii="Arial" w:cs="Arial" w:eastAsia="Arial" w:hAnsi="Arial"/>
          <w:color w:val="222222"/>
          <w:sz w:val="22"/>
          <w:szCs w:val="22"/>
        </w:rPr>
        <w:t xml:space="preserve">A truck is on the road 16 hours a day. 8x more data per unit than a private car.</w:t>
      </w:r>
    </w:p>
    <w:p>
      <w:pPr>
        <w:pStyle w:val="ListParagraph"/>
        <w:numPr>
          <w:ilvl w:val="0"/>
          <w:numId w:val="2"/>
        </w:numPr>
        <w:spacing w:before="40" w:after="40"/>
      </w:pPr>
      <w:r>
        <w:rPr>
          <w:rFonts w:ascii="Arial" w:cs="Arial" w:eastAsia="Arial" w:hAnsi="Arial"/>
          <w:color w:val="222222"/>
          <w:sz w:val="22"/>
          <w:szCs w:val="22"/>
        </w:rPr>
        <w:t xml:space="preserve">One truck accident costs ₹8–25 lakh. Garuda costs ₹54,000 per year. The math is obvious.</w:t>
      </w:r>
    </w:p>
    <w:p>
      <w:pPr>
        <w:pStyle w:val="ListParagraph"/>
        <w:numPr>
          <w:ilvl w:val="0"/>
          <w:numId w:val="2"/>
        </w:numPr>
        <w:spacing w:before="40" w:after="40"/>
      </w:pPr>
      <w:r>
        <w:rPr>
          <w:rFonts w:ascii="Arial" w:cs="Arial" w:eastAsia="Arial" w:hAnsi="Arial"/>
          <w:color w:val="222222"/>
          <w:sz w:val="22"/>
          <w:szCs w:val="22"/>
        </w:rPr>
        <w:t xml:space="preserve">500 truck fleet operators in India control 40% of all NH freight. Reach 50 of them and you have national coverage.</w:t>
      </w:r>
    </w:p>
    <w:p>
      <w:pPr>
        <w:pStyle w:val="ListParagraph"/>
        <w:numPr>
          <w:ilvl w:val="0"/>
          <w:numId w:val="2"/>
        </w:numPr>
        <w:spacing w:before="40" w:after="40"/>
      </w:pPr>
      <w:r>
        <w:rPr>
          <w:rFonts w:ascii="Arial" w:cs="Arial" w:eastAsia="Arial" w:hAnsi="Arial"/>
          <w:color w:val="222222"/>
          <w:sz w:val="22"/>
          <w:szCs w:val="22"/>
        </w:rPr>
        <w:t xml:space="preserve">Each truck generates labeled near-miss training data — building the AI advantage that cars will benefit from in Year 3.</w:t>
      </w:r>
    </w:p>
    <w:p>
      <w:pPr>
        <w:spacing w:before="80" w:after="0"/>
      </w:pPr>
      <w:r>
        <w:t xml:space="preserve"/>
      </w:r>
    </w:p>
    <w:p>
      <w:pPr>
        <w:spacing w:before="200" w:after="60"/>
      </w:pPr>
      <w:r>
        <w:rPr>
          <w:rFonts w:ascii="Arial" w:cs="Arial" w:eastAsia="Arial" w:hAnsi="Arial"/>
          <w:b/>
          <w:bCs/>
          <w:color w:val="1A3C6E"/>
          <w:sz w:val="22"/>
          <w:szCs w:val="22"/>
        </w:rPr>
        <w:t xml:space="preserve">Why This Leads to Dominance</w:t>
      </w:r>
    </w:p>
    <w:p>
      <w:pPr>
        <w:spacing w:before="60" w:after="80"/>
      </w:pPr>
      <w:r>
        <w:rPr>
          <w:rFonts w:ascii="Arial" w:cs="Arial" w:eastAsia="Arial" w:hAnsi="Arial"/>
          <w:color w:val="222222"/>
          <w:sz w:val="22"/>
          <w:szCs w:val="22"/>
        </w:rPr>
        <w:t xml:space="preserve">By the time Garuda enters the car market in Year 3–4, it will have trained its models on 500 million kilometers of Indian road data. It will have insurance partnerships that give consumers a financial reason to choose Garuda. It will have OEM relationships from the truck/bus phase. The consumer product enters the market already dominant — not as a challenger.</w:t>
      </w:r>
    </w:p>
    <w:p>
      <w:pPr>
        <w:spacing w:before="80" w:after="0"/>
      </w:pPr>
      <w:r>
        <w:t xml:space="preserve"/>
      </w:r>
    </w:p>
    <w:p>
      <w:pPr>
        <w:spacing w:before="200" w:after="60"/>
      </w:pPr>
      <w:r>
        <w:rPr>
          <w:rFonts w:ascii="Arial" w:cs="Arial" w:eastAsia="Arial" w:hAnsi="Arial"/>
          <w:b/>
          <w:bCs/>
          <w:color w:val="1A3C6E"/>
          <w:sz w:val="22"/>
          <w:szCs w:val="22"/>
        </w:rPr>
        <w:t xml:space="preserve">Why This Becomes a Billion-Dollar Opportunity</w:t>
      </w:r>
    </w:p>
    <w:p>
      <w:pPr>
        <w:pStyle w:val="ListParagraph"/>
        <w:numPr>
          <w:ilvl w:val="0"/>
          <w:numId w:val="2"/>
        </w:numPr>
        <w:spacing w:before="40" w:after="40"/>
      </w:pPr>
      <w:r>
        <w:rPr>
          <w:rFonts w:ascii="Arial" w:cs="Arial" w:eastAsia="Arial" w:hAnsi="Arial"/>
          <w:color w:val="222222"/>
          <w:sz w:val="22"/>
          <w:szCs w:val="22"/>
        </w:rPr>
        <w:t xml:space="preserve">India has 35 million registered commercial vehicles. At ₹4,500/month, the commercial fleet TAM alone is ₹1.9 lakh crore per year.</w:t>
      </w:r>
    </w:p>
    <w:p>
      <w:pPr>
        <w:pStyle w:val="ListParagraph"/>
        <w:numPr>
          <w:ilvl w:val="0"/>
          <w:numId w:val="2"/>
        </w:numPr>
        <w:spacing w:before="40" w:after="40"/>
      </w:pPr>
      <w:r>
        <w:rPr>
          <w:rFonts w:ascii="Arial" w:cs="Arial" w:eastAsia="Arial" w:hAnsi="Arial"/>
          <w:color w:val="222222"/>
          <w:sz w:val="22"/>
          <w:szCs w:val="22"/>
        </w:rPr>
        <w:t xml:space="preserve">300 million private cars and two-wheelers represent an additional ₹2–5 lakh crore total addressable market.</w:t>
      </w:r>
    </w:p>
    <w:p>
      <w:pPr>
        <w:pStyle w:val="ListParagraph"/>
        <w:numPr>
          <w:ilvl w:val="0"/>
          <w:numId w:val="2"/>
        </w:numPr>
        <w:spacing w:before="40" w:after="40"/>
      </w:pPr>
      <w:r>
        <w:rPr>
          <w:rFonts w:ascii="Arial" w:cs="Arial" w:eastAsia="Arial" w:hAnsi="Arial"/>
          <w:color w:val="222222"/>
          <w:sz w:val="22"/>
          <w:szCs w:val="22"/>
        </w:rPr>
        <w:t xml:space="preserve">The data platform (selling risk intelligence to insurers, OEMs, city planners, NHAI) is a separate business worth ₹5,000–15,000 Cr at scale.</w:t>
      </w:r>
    </w:p>
    <w:p>
      <w:pPr>
        <w:pStyle w:val="ListParagraph"/>
        <w:numPr>
          <w:ilvl w:val="0"/>
          <w:numId w:val="2"/>
        </w:numPr>
        <w:spacing w:before="40" w:after="40"/>
      </w:pPr>
      <w:r>
        <w:rPr>
          <w:rFonts w:ascii="Arial" w:cs="Arial" w:eastAsia="Arial" w:hAnsi="Arial"/>
          <w:color w:val="222222"/>
          <w:sz w:val="22"/>
          <w:szCs w:val="22"/>
        </w:rPr>
        <w:t xml:space="preserve">International expansion: the offline BLE + low-cost hardware model is directly applicable to Indonesia, Vietnam, Nigeria, Brazil — markets with identical road safety profiles.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20" w:sz="1"/>
              <w:left w:val="single" w:color="E85D20" w:sz="16"/>
              <w:bottom w:val="none" w:color="FFFFFF" w:sz="0"/>
              <w:right w:val="none" w:color="FFFFFF" w:sz="0"/>
            </w:tcBorders>
            <w:shd w:fill="FFF0EA" w:val="clear"/>
            <w:tcMar>
              <w:top w:type="dxa" w:w="100"/>
              <w:left w:type="dxa" w:w="240"/>
              <w:bottom w:type="dxa" w:w="20"/>
              <w:right w:type="dxa" w:w="240"/>
            </w:tcMar>
          </w:tcPr>
          <w:p>
            <w:r>
              <w:rPr>
                <w:rFonts w:ascii="Arial" w:cs="Arial" w:eastAsia="Arial" w:hAnsi="Arial"/>
                <w:b/>
                <w:bCs/>
                <w:color w:val="E85D20"/>
                <w:sz w:val="22"/>
                <w:szCs w:val="22"/>
              </w:rPr>
              <w:t xml:space="preserve">THE ONE-LINE VC NARRATIVE</w:t>
            </w:r>
          </w:p>
        </w:tc>
      </w:tr>
      <w:tr>
        <w:tc>
          <w:tcPr>
            <w:tcW w:type="dxa" w:w="9360"/>
            <w:tcBorders>
              <w:top w:val="none" w:color="FFFFFF" w:sz="0"/>
              <w:left w:val="single" w:color="E85D20" w:sz="16"/>
              <w:bottom w:val="single" w:color="E85D20" w:sz="1"/>
              <w:right w:val="none" w:color="FFFFFF" w:sz="0"/>
            </w:tcBorders>
            <w:shd w:fill="FFF0EA" w:val="clear"/>
            <w:tcMar>
              <w:top w:type="dxa" w:w="20"/>
              <w:left w:type="dxa" w:w="240"/>
              <w:bottom w:type="dxa" w:w="100"/>
              <w:right w:type="dxa" w:w="240"/>
            </w:tcMar>
          </w:tcPr>
          <w:p>
            <w:r>
              <w:rPr>
                <w:rFonts w:ascii="Arial" w:cs="Arial" w:eastAsia="Arial" w:hAnsi="Arial"/>
                <w:color w:val="333333"/>
                <w:sz w:val="20"/>
                <w:szCs w:val="20"/>
              </w:rPr>
              <w:t xml:space="preserve">Garuda is building the Palantir of road safety — starting with the fleet segment to build the world's most comprehensive Indian road AI, and using that data moat to dominate the consumer automotive safety market within 5 years.</w:t>
            </w:r>
          </w:p>
        </w:tc>
      </w:tr>
    </w:tbl>
    <w:p>
      <w:pPr>
        <w:spacing w:before="80" w:after="0"/>
      </w:pPr>
      <w:r>
        <w:t xml:space="preserve"/>
      </w:r>
    </w:p>
    <w:p>
      <w:pPr>
        <w:pStyle w:val="Heading2"/>
        <w:spacing w:before="280" w:after="80"/>
      </w:pPr>
      <w:r>
        <w:rPr>
          <w:rFonts w:ascii="Arial" w:cs="Arial" w:eastAsia="Arial" w:hAnsi="Arial"/>
          <w:b/>
          <w:bCs/>
          <w:color w:val="1A3C6E"/>
          <w:sz w:val="26"/>
          <w:szCs w:val="26"/>
        </w:rPr>
        <w:t xml:space="preserve">Use of Funds (Seed: ₹6 Cr)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18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39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Hardware Production (1,500 units)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₹1.8 Cr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First production run; pilot inventory; field replacement stock</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AI/ML &amp; Software Team</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₹1.5 Cr</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2 ML engineers, 1 embedded, 1 backend — 18 months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Sales &amp; Business Dev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₹0.9 Cr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2 enterprise sales, 1 partnership manager — 18 months</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Field Operations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₹0.6 Cr</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Installation, maintenance, customer success in 3 states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Regulatory &amp; Legal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₹0.3 Cr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ARDB compliance, insurance MoU legal work, IP filing</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Working Capital / Runway Buffer</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₹0.9 Cr</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19"/>
                <w:szCs w:val="19"/>
              </w:rPr>
              <w:t xml:space="preserve">18-month runway assurance; bridge to Series A</w:t>
            </w:r>
          </w:p>
        </w:tc>
      </w:tr>
    </w:tbl>
    <w:p>
      <w:pPr>
        <w:spacing w:before="80" w:after="0"/>
      </w:pPr>
      <w:r>
        <w:t xml:space="preserve"/>
      </w:r>
    </w:p>
    <w:p>
      <w:pPr>
        <w:pStyle w:val="Heading2"/>
        <w:spacing w:before="280" w:after="80"/>
      </w:pPr>
      <w:r>
        <w:rPr>
          <w:rFonts w:ascii="Arial" w:cs="Arial" w:eastAsia="Arial" w:hAnsi="Arial"/>
          <w:b/>
          <w:bCs/>
          <w:color w:val="1A3C6E"/>
          <w:sz w:val="26"/>
          <w:szCs w:val="26"/>
        </w:rPr>
        <w:t xml:space="preserve">Series A Milestones (18 Months)</w:t>
      </w:r>
    </w:p>
    <w:p>
      <w:pPr>
        <w:spacing w:before="40" w:after="0"/>
      </w:pPr>
      <w:r>
        <w:t xml:space="preserve"/>
      </w:r>
    </w:p>
    <w:p>
      <w:pPr>
        <w:pStyle w:val="ListParagraph"/>
        <w:numPr>
          <w:ilvl w:val="0"/>
          <w:numId w:val="2"/>
        </w:numPr>
        <w:spacing w:before="40" w:after="40"/>
      </w:pPr>
      <w:r>
        <w:rPr>
          <w:rFonts w:ascii="Arial" w:cs="Arial" w:eastAsia="Arial" w:hAnsi="Arial"/>
          <w:color w:val="222222"/>
          <w:sz w:val="22"/>
          <w:szCs w:val="22"/>
        </w:rPr>
        <w:t xml:space="preserve">2,000+ commercial vehicles deployed across 3 states.</w:t>
      </w:r>
    </w:p>
    <w:p>
      <w:pPr>
        <w:pStyle w:val="ListParagraph"/>
        <w:numPr>
          <w:ilvl w:val="0"/>
          <w:numId w:val="2"/>
        </w:numPr>
        <w:spacing w:before="40" w:after="40"/>
      </w:pPr>
      <w:r>
        <w:rPr>
          <w:rFonts w:ascii="Arial" w:cs="Arial" w:eastAsia="Arial" w:hAnsi="Arial"/>
          <w:color w:val="222222"/>
          <w:sz w:val="22"/>
          <w:szCs w:val="22"/>
        </w:rPr>
        <w:t xml:space="preserve">₹8–12 Cr ARR with &lt;5% monthly churn.</w:t>
      </w:r>
    </w:p>
    <w:p>
      <w:pPr>
        <w:pStyle w:val="ListParagraph"/>
        <w:numPr>
          <w:ilvl w:val="0"/>
          <w:numId w:val="2"/>
        </w:numPr>
        <w:spacing w:before="40" w:after="40"/>
      </w:pPr>
      <w:r>
        <w:rPr>
          <w:rFonts w:ascii="Arial" w:cs="Arial" w:eastAsia="Arial" w:hAnsi="Arial"/>
          <w:color w:val="222222"/>
          <w:sz w:val="22"/>
          <w:szCs w:val="22"/>
        </w:rPr>
        <w:t xml:space="preserve">1 insurance company co-selling partnership signed.</w:t>
      </w:r>
    </w:p>
    <w:p>
      <w:pPr>
        <w:pStyle w:val="ListParagraph"/>
        <w:numPr>
          <w:ilvl w:val="0"/>
          <w:numId w:val="2"/>
        </w:numPr>
        <w:spacing w:before="40" w:after="40"/>
      </w:pPr>
      <w:r>
        <w:rPr>
          <w:rFonts w:ascii="Arial" w:cs="Arial" w:eastAsia="Arial" w:hAnsi="Arial"/>
          <w:color w:val="222222"/>
          <w:sz w:val="22"/>
          <w:szCs w:val="22"/>
        </w:rPr>
        <w:t xml:space="preserve">1 OEM pilot (factory integration) in negotiation.</w:t>
      </w:r>
    </w:p>
    <w:p>
      <w:pPr>
        <w:pStyle w:val="ListParagraph"/>
        <w:numPr>
          <w:ilvl w:val="0"/>
          <w:numId w:val="2"/>
        </w:numPr>
        <w:spacing w:before="40" w:after="40"/>
      </w:pPr>
      <w:r>
        <w:rPr>
          <w:rFonts w:ascii="Arial" w:cs="Arial" w:eastAsia="Arial" w:hAnsi="Arial"/>
          <w:color w:val="222222"/>
          <w:sz w:val="22"/>
          <w:szCs w:val="22"/>
        </w:rPr>
        <w:t xml:space="preserve">AI model showing &gt;85% precision on Indian road near-miss prediction.</w:t>
      </w:r>
    </w:p>
    <w:p>
      <w:pPr>
        <w:pStyle w:val="ListParagraph"/>
        <w:numPr>
          <w:ilvl w:val="0"/>
          <w:numId w:val="2"/>
        </w:numPr>
        <w:spacing w:before="40" w:after="40"/>
      </w:pPr>
      <w:r>
        <w:rPr>
          <w:rFonts w:ascii="Arial" w:cs="Arial" w:eastAsia="Arial" w:hAnsi="Arial"/>
          <w:color w:val="222222"/>
          <w:sz w:val="22"/>
          <w:szCs w:val="22"/>
        </w:rPr>
        <w:t xml:space="preserve">Patent filed on BLE V2V mesh protocol for accident prediction.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AF0F8" w:sz="1"/>
      </w:pBdr>
      <w:jc w:val="center"/>
    </w:pPr>
    <w:r>
      <w:rPr>
        <w:rFonts w:ascii="Arial" w:cs="Arial" w:eastAsia="Arial" w:hAnsi="Arial"/>
        <w:color w:val="888888"/>
        <w:sz w:val="16"/>
        <w:szCs w:val="16"/>
      </w:rPr>
      <w:t xml:space="preserve">Project Garuda  ·  AI Co-Driver System  ·  Confidential GTM Strategy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single" w:color="E85D20" w:sz="1"/>
            <w:right w:val="none" w:color="FFFFFF" w:sz="0"/>
          </w:tcBorders>
          <w:tcMar>
            <w:top w:type="dxa" w:w="60"/>
            <w:left w:type="dxa" w:w="0"/>
            <w:bottom w:type="dxa" w:w="60"/>
            <w:right w:type="dxa" w:w="0"/>
          </w:tcMar>
        </w:tcPr>
        <w:p>
          <w:r>
            <w:rPr>
              <w:rFonts w:ascii="Arial" w:cs="Arial" w:eastAsia="Arial" w:hAnsi="Arial"/>
              <w:b/>
              <w:bCs/>
              <w:color w:val="1A3C6E"/>
              <w:sz w:val="18"/>
              <w:szCs w:val="18"/>
            </w:rPr>
            <w:t xml:space="preserve">PROJECT GARUDA  |  Go-To-Market Strategy</w:t>
          </w:r>
        </w:p>
      </w:tc>
      <w:tc>
        <w:tcPr>
          <w:tcW w:type="dxa" w:w="3080"/>
          <w:tcBorders>
            <w:top w:val="none" w:color="FFFFFF" w:sz="0"/>
            <w:left w:val="none" w:color="FFFFFF" w:sz="0"/>
            <w:bottom w:val="single" w:color="E85D20" w:sz="1"/>
            <w:right w:val="none" w:color="FFFFFF" w:sz="0"/>
          </w:tcBorders>
          <w:tcMar>
            <w:top w:type="dxa" w:w="60"/>
            <w:left w:type="dxa" w:w="0"/>
            <w:bottom w:type="dxa" w:w="60"/>
            <w:right w:type="dxa" w:w="0"/>
          </w:tcMar>
        </w:tcPr>
        <w:p>
          <w:pPr>
            <w:jc w:val="right"/>
          </w:pPr>
          <w:r>
            <w:rPr>
              <w:rFonts w:ascii="Arial" w:cs="Arial" w:eastAsia="Arial" w:hAnsi="Arial"/>
              <w:b/>
              <w:bCs/>
              <w:color w:val="E85D20"/>
              <w:sz w:val="18"/>
              <w:szCs w:val="18"/>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6"/>
      <w:szCs w:val="36"/>
    </w:rPr>
  </w:style>
  <w:style w:type="paragraph" w:styleId="Heading2">
    <w:name w:val="Heading 2"/>
    <w:basedOn w:val="Normal"/>
    <w:next w:val="Normal"/>
    <w:qFormat/>
    <w:pPr>
      <w:spacing w:before="240" w:after="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2026-03-21T19:50:17.574Z</dcterms:created>
  <dcterms:modified xsi:type="dcterms:W3CDTF">2026-03-21T19:50:17.576Z</dcterms:modified>
</cp:coreProperties>
</file>

<file path=docProps/custom.xml><?xml version="1.0" encoding="utf-8"?>
<Properties xmlns="http://schemas.openxmlformats.org/officeDocument/2006/custom-properties" xmlns:vt="http://schemas.openxmlformats.org/officeDocument/2006/docPropsVTypes"/>
</file>