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b/>
          <w:bCs/>
          <w:color w:val="111827"/>
          <w:sz w:val="38"/>
          <w:szCs w:val="38"/>
        </w:rPr>
        <w:t xml:space="preserve">Multi-Agent System for Proactive Mental Wellness</w:t>
      </w:r>
    </w:p>
    <w:p>
      <w:pPr>
        <w:spacing w:after="220"/>
      </w:pPr>
      <w:r>
        <w:rPr>
          <w:i/>
          <w:iCs/>
          <w:color w:val="6B7280"/>
          <w:sz w:val="21"/>
          <w:szCs w:val="21"/>
        </w:rPr>
        <w:t xml:space="preserve">GenAI system using multi-agent orchestration and retrieval-augmented generation to proactively detect burnout signals and deliver grounded, personalized support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"/>
        <w:gridCol w:w="2340"/>
        <w:gridCol w:w="120"/>
        <w:gridCol w:w="2340"/>
        <w:gridCol w:w="12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FD" w:val="clear"/>
            <w:tcMar>
              <w:top w:type="dxa" w:w="180"/>
              <w:left w:type="dxa" w:w="100"/>
              <w:bottom w:type="dxa" w:w="18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5B4FCF"/>
                <w:sz w:val="34"/>
                <w:szCs w:val="34"/>
              </w:rPr>
              <w:t xml:space="preserve">94%</w:t>
            </w:r>
          </w:p>
          <w:p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SENTIMENT F1-SCORE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FD" w:val="clear"/>
            <w:tcMar>
              <w:top w:type="dxa" w:w="180"/>
              <w:left w:type="dxa" w:w="100"/>
              <w:bottom w:type="dxa" w:w="18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5B4FCF"/>
                <w:sz w:val="34"/>
                <w:szCs w:val="34"/>
              </w:rPr>
              <w:t xml:space="preserve">3</w:t>
            </w:r>
          </w:p>
          <w:p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COORDINATED AI AGENTS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FD" w:val="clear"/>
            <w:tcMar>
              <w:top w:type="dxa" w:w="180"/>
              <w:left w:type="dxa" w:w="100"/>
              <w:bottom w:type="dxa" w:w="18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5B4FCF"/>
                <w:sz w:val="34"/>
                <w:szCs w:val="34"/>
              </w:rPr>
              <w:t xml:space="preserve">100%</w:t>
            </w:r>
          </w:p>
          <w:p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RESPONSES RAG-GROUNDED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FD" w:val="clear"/>
            <w:tcMar>
              <w:top w:type="dxa" w:w="180"/>
              <w:left w:type="dxa" w:w="100"/>
              <w:bottom w:type="dxa" w:w="18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5B4FCF"/>
                <w:sz w:val="34"/>
                <w:szCs w:val="34"/>
              </w:rPr>
              <w:t xml:space="preserve">0→1</w:t>
            </w:r>
          </w:p>
          <w:p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PROACTIVE, NOT REACTIVE</w:t>
            </w:r>
          </w:p>
        </w:tc>
      </w:tr>
    </w:tbl>
    <w:p>
      <w:pPr>
        <w:spacing w:after="2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 xml:space="preserve">CrewAI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 xml:space="preserve">LangChain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 xml:space="preserve">Pinecone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 xml:space="preserve">RAG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 xml:space="preserve">NLP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4338CA"/>
                <w:sz w:val="18"/>
                <w:szCs w:val="18"/>
              </w:rPr>
              <w:t xml:space="preserve">Python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4338CA"/>
          <w:sz w:val="26"/>
          <w:szCs w:val="26"/>
        </w:rPr>
        <w:t xml:space="preserve">Results &amp; Impact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Achieved a 94% F1-score</w:t>
      </w:r>
      <w:r>
        <w:rPr>
          <w:sz w:val="21"/>
          <w:szCs w:val="21"/>
        </w:rPr>
        <w:t xml:space="preserve"> on the sentiment classification model used to detect burnout-risk signals from user interaction data — the trigger that decides whether the rest of the pipeline activates.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Architected a 3-agent CrewAI workflow</w:t>
      </w:r>
      <w:r>
        <w:rPr>
          <w:sz w:val="21"/>
          <w:szCs w:val="21"/>
        </w:rPr>
        <w:t xml:space="preserve"> (signal detection → retrieval → synthesis) that decomposes a multi-step reasoning task into specialized, independently testable components instead of one large prompt.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Built a production-style RAG pipeline on Pinecone</w:t>
      </w:r>
      <w:r>
        <w:rPr>
          <w:sz w:val="21"/>
          <w:szCs w:val="21"/>
        </w:rPr>
        <w:t xml:space="preserve"> so every recommendation is grounded in a retrieved knowledge base rather than open-ended LLM generation — directly reducing hallucination risk in a sensitive domain.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Shifted the interaction model from reactive to proactive</w:t>
      </w:r>
      <w:r>
        <w:rPr>
          <w:sz w:val="21"/>
          <w:szCs w:val="21"/>
        </w:rPr>
        <w:t xml:space="preserve">, surfacing support based on detected signals instead of waiting for a user to self-report distress.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Designed for responsible deployment</w:t>
      </w:r>
      <w:r>
        <w:rPr>
          <w:sz w:val="21"/>
          <w:szCs w:val="21"/>
        </w:rPr>
        <w:t xml:space="preserve"> with a clear human-escalation path, positioning the system as a support layer rather than a diagnostic or crisis tool.</w:t>
      </w:r>
    </w:p>
    <w:p>
      <w:pPr>
        <w:pStyle w:val="Heading1"/>
        <w:spacing w:after="140" w:before="320"/>
      </w:pPr>
      <w:r>
        <w:rPr>
          <w:b/>
          <w:bCs/>
          <w:color w:val="4338CA"/>
          <w:sz w:val="26"/>
          <w:szCs w:val="26"/>
        </w:rPr>
        <w:t xml:space="preserve">The Challenge</w:t>
      </w:r>
    </w:p>
    <w:p>
      <w:pPr>
        <w:spacing w:after="140" w:line="290"/>
      </w:pPr>
      <w:r>
        <w:rPr>
          <w:color w:val="111827"/>
          <w:sz w:val="21"/>
          <w:szCs w:val="21"/>
        </w:rPr>
        <w:t xml:space="preserve">Burnout builds gradually — in tone, engagement, and communication patterns — long before someone flags it themselves. Most wellness tools are reactive, waiting on a self-report or a periodic survey. The goal of this project was a system that could pick up on early signals in ongoing interaction data and proactively surface relevant, evidence-based support — without a single LLM call trying to do detection, retrieval, and response generation all at once.</w:t>
      </w:r>
    </w:p>
    <w:p>
      <w:pPr>
        <w:pStyle w:val="Heading1"/>
        <w:spacing w:after="140" w:before="320"/>
      </w:pPr>
      <w:r>
        <w:rPr>
          <w:b/>
          <w:bCs/>
          <w:color w:val="4338CA"/>
          <w:sz w:val="26"/>
          <w:szCs w:val="26"/>
        </w:rPr>
        <w:t xml:space="preserve">Architecture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300"/>
        <w:gridCol w:w="1780"/>
        <w:gridCol w:w="300"/>
        <w:gridCol w:w="1780"/>
        <w:gridCol w:w="300"/>
        <w:gridCol w:w="1780"/>
        <w:gridCol w:w="300"/>
        <w:gridCol w:w="940"/>
      </w:tblGrid>
      <w:tr>
        <w:tc>
          <w:tcPr>
            <w:tcW w:type="dxa" w:w="1780"/>
            <w:tcBorders>
              <w:top w:val="single" w:color="5B4FCF" w:sz="8"/>
              <w:left w:val="single" w:color="5B4FCF" w:sz="8"/>
              <w:bottom w:val="single" w:color="5B4FCF" w:sz="8"/>
              <w:right w:val="single" w:color="5B4FCF" w:sz="8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6"/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User Interaction Data</w:t>
            </w:r>
          </w:p>
          <w:p>
            <w:pPr>
              <w:jc w:val="center"/>
            </w:pPr>
            <w:r>
              <w:rPr>
                <w:color w:val="6B7280"/>
                <w:sz w:val="14"/>
                <w:szCs w:val="14"/>
              </w:rPr>
              <w:t xml:space="preserve">messages, check-ins, activity logs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5B4FCF"/>
                <w:sz w:val="24"/>
                <w:szCs w:val="24"/>
              </w:rPr>
              <w:t xml:space="preserve">→</w:t>
            </w:r>
          </w:p>
        </w:tc>
        <w:tc>
          <w:tcPr>
            <w:tcW w:type="dxa" w:w="1780"/>
            <w:tcBorders>
              <w:top w:val="single" w:color="5B4FCF" w:sz="8"/>
              <w:left w:val="single" w:color="5B4FCF" w:sz="8"/>
              <w:bottom w:val="single" w:color="5B4FCF" w:sz="8"/>
              <w:right w:val="single" w:color="5B4FCF" w:sz="8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6"/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Sentiment &amp; Signal Agent</w:t>
            </w:r>
          </w:p>
          <w:p>
            <w:pPr>
              <w:jc w:val="center"/>
            </w:pPr>
            <w:r>
              <w:rPr>
                <w:color w:val="6B7280"/>
                <w:sz w:val="14"/>
                <w:szCs w:val="14"/>
              </w:rPr>
              <w:t xml:space="preserve">NLP classification · 94% F1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5B4FCF"/>
                <w:sz w:val="24"/>
                <w:szCs w:val="24"/>
              </w:rPr>
              <w:t xml:space="preserve">→</w:t>
            </w:r>
          </w:p>
        </w:tc>
        <w:tc>
          <w:tcPr>
            <w:tcW w:type="dxa" w:w="1780"/>
            <w:tcBorders>
              <w:top w:val="single" w:color="5B4FCF" w:sz="8"/>
              <w:left w:val="single" w:color="5B4FCF" w:sz="8"/>
              <w:bottom w:val="single" w:color="5B4FCF" w:sz="8"/>
              <w:right w:val="single" w:color="5B4FCF" w:sz="8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6"/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Retrieval Agent</w:t>
            </w:r>
          </w:p>
          <w:p>
            <w:pPr>
              <w:jc w:val="center"/>
            </w:pPr>
            <w:r>
              <w:rPr>
                <w:color w:val="6B7280"/>
                <w:sz w:val="14"/>
                <w:szCs w:val="14"/>
              </w:rPr>
              <w:t xml:space="preserve">embeds query · top-k search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5B4FCF"/>
                <w:sz w:val="24"/>
                <w:szCs w:val="24"/>
              </w:rPr>
              <w:t xml:space="preserve">→</w:t>
            </w:r>
          </w:p>
        </w:tc>
        <w:tc>
          <w:tcPr>
            <w:tcW w:type="dxa" w:w="1780"/>
            <w:tcBorders>
              <w:top w:val="single" w:color="5B4FCF" w:sz="8"/>
              <w:left w:val="single" w:color="5B4FCF" w:sz="8"/>
              <w:bottom w:val="single" w:color="5B4FCF" w:sz="8"/>
              <w:right w:val="single" w:color="5B4FCF" w:sz="8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6"/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Synthesis Agent</w:t>
            </w:r>
          </w:p>
          <w:p>
            <w:pPr>
              <w:jc w:val="center"/>
            </w:pPr>
            <w:r>
              <w:rPr>
                <w:color w:val="6B7280"/>
                <w:sz w:val="14"/>
                <w:szCs w:val="14"/>
              </w:rPr>
              <w:t xml:space="preserve">grounds LLM response in context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5B4FCF"/>
                <w:sz w:val="24"/>
                <w:szCs w:val="24"/>
              </w:rPr>
              <w:t xml:space="preserve">→</w:t>
            </w:r>
          </w:p>
        </w:tc>
        <w:tc>
          <w:tcPr>
            <w:tcW w:type="dxa" w:w="940"/>
            <w:tcBorders>
              <w:top w:val="single" w:color="4338CA" w:sz="8"/>
              <w:left w:val="single" w:color="4338CA" w:sz="8"/>
              <w:bottom w:val="single" w:color="4338CA" w:sz="8"/>
              <w:right w:val="single" w:color="4338CA" w:sz="8"/>
            </w:tcBorders>
            <w:shd w:fill="F3F1F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6"/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Personalized Recommendation</w:t>
            </w:r>
          </w:p>
          <w:p>
            <w:pPr>
              <w:jc w:val="center"/>
            </w:pPr>
            <w:r>
              <w:rPr>
                <w:color w:val="6B7280"/>
                <w:sz w:val="14"/>
                <w:szCs w:val="14"/>
              </w:rPr>
              <w:t xml:space="preserve">delivered to user</w:t>
            </w:r>
          </w:p>
        </w:tc>
      </w:tr>
      <w:tr>
        <w:tc>
          <w:tcPr>
            <w:tcW w:type="dxa" w:w="41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7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5B4FCF"/>
                <w:sz w:val="24"/>
                <w:szCs w:val="24"/>
              </w:rPr>
              <w:t xml:space="preserve">↑</w:t>
            </w:r>
          </w:p>
        </w:tc>
        <w:tc>
          <w:tcPr>
            <w:tcW w:type="dxa" w:w="332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41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780"/>
            <w:tcBorders>
              <w:top w:val="single" w:color="6B7280" w:sz="8"/>
              <w:left w:val="single" w:color="6B7280" w:sz="8"/>
              <w:bottom w:val="single" w:color="6B7280" w:sz="8"/>
              <w:right w:val="single" w:color="6B7280" w:sz="8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16"/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 xml:space="preserve">Pinecone Vector Index</w:t>
            </w:r>
          </w:p>
          <w:p>
            <w:pPr>
              <w:jc w:val="center"/>
            </w:pPr>
            <w:r>
              <w:rPr>
                <w:color w:val="6B7280"/>
                <w:sz w:val="14"/>
                <w:szCs w:val="14"/>
              </w:rPr>
              <w:t xml:space="preserve">curated wellness knowledge base — coping strategies, resources, org. policy docs</w:t>
            </w:r>
          </w:p>
        </w:tc>
        <w:tc>
          <w:tcPr>
            <w:tcW w:type="dxa" w:w="332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Orchestrated end-to-end by CrewAI  •  LLM chaining &amp; tool-calling via LangChain</w:t>
            </w:r>
          </w:p>
        </w:tc>
      </w:tr>
    </w:tbl>
    <w:p>
      <w:pPr>
        <w:spacing w:after="100" w:before="180"/>
      </w:pPr>
      <w:r>
        <w:t xml:space="preserve"/>
      </w:r>
    </w:p>
    <w:p>
      <w:pPr>
        <w:spacing w:after="140" w:line="290"/>
      </w:pPr>
      <w:r>
        <w:rPr>
          <w:color w:val="111827"/>
          <w:sz w:val="21"/>
          <w:szCs w:val="21"/>
        </w:rPr>
        <w:t xml:space="preserve">The CrewAI orchestrator manages task handoff and shared state across all three agents. The Retrieval Agent queries the Pinecone index at inference time, converting the detected signal into a semantic search rather than a keyword lookup, so the Synthesis Agent always has grounded, relevant context before it generates a response. Keeping each agent's responsibility narrow made the system easier to debug, evaluate, and extend than a single monolithic prompt.</w:t>
      </w:r>
    </w:p>
    <w:p>
      <w:pPr>
        <w:pStyle w:val="Heading1"/>
        <w:spacing w:after="140" w:before="320"/>
      </w:pPr>
      <w:r>
        <w:rPr>
          <w:b/>
          <w:bCs/>
          <w:color w:val="4338CA"/>
          <w:sz w:val="26"/>
          <w:szCs w:val="26"/>
        </w:rPr>
        <w:t xml:space="preserve">What I Built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End-to-end multi-agent pipeline: ingestion → sentiment detection → semantic retrieval → response synthesis, orchestrated with CrewAI.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Embedding + indexing pipeline for a curated wellness knowledge base, queried via Pinecone at inference time.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Evaluation methodology for the sentiment model, treating false negatives (missed at-risk cases) and false positives (over-flagging) as distinct, first-class failure modes rather than optimizing F1 alone.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Prompt and retrieval design that keeps generated recommendations anchored to retrieved context, addressing hallucination risk directly rather than relying on model behavior alone.</w:t>
      </w:r>
    </w:p>
    <w:p>
      <w:pPr>
        <w:pStyle w:val="Heading1"/>
        <w:spacing w:after="140" w:before="320"/>
      </w:pPr>
      <w:r>
        <w:rPr>
          <w:b/>
          <w:bCs/>
          <w:color w:val="4338CA"/>
          <w:sz w:val="26"/>
          <w:szCs w:val="26"/>
        </w:rPr>
        <w:t xml:space="preserve">Skills Demonstrated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Multi-agent system design &amp; orchestration (CrewAI)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LLM application development &amp; chaining (LangChain)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Retrieval-augmented generation &amp; vector search (Pinecone)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NLP / sentiment classification &amp; model evaluation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Responsible AI design for a sensitive domain</w:t>
      </w:r>
    </w:p>
    <w:p>
      <w:pPr>
        <w:pBdr>
          <w:top w:val="single" w:color="E5E7EB" w:sz="6"/>
        </w:pBdr>
        <w:spacing w:before="260"/>
      </w:pPr>
      <w:r>
        <w:t xml:space="preserve"/>
      </w:r>
    </w:p>
    <w:p>
      <w:pPr>
        <w:spacing w:before="140"/>
      </w:pPr>
      <w:r>
        <w:rPr>
          <w:i/>
          <w:iCs/>
          <w:color w:val="6B7280"/>
          <w:sz w:val="16"/>
          <w:szCs w:val="16"/>
        </w:rPr>
        <w:t xml:space="preserve">Note: this system is a supportive, informational tool — not a diagnostic or crisis-response system — and is designed with a clear escalation path to human support.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40" w:hanging="240"/>
      </w:pPr>
      <w:rPr>
        <w:b/>
        <w:bCs/>
        <w:color w:val="4338C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2026-08-02T20:25:25.529Z</dcterms:created>
  <dcterms:modified xsi:type="dcterms:W3CDTF">2026-08-02T20:25:25.548Z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