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/>
        <w:ind/>
        <w:jc w:val="center"/>
        <w:rPr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highlight w:val="white"/>
          <w:shd w:val="clear" w:color="auto" w:fill="ea9999"/>
          <w:rtl w:val="0"/>
        </w:rPr>
        <w:t xml:space="preserve">AI Assisted Coding</w:t>
      </w:r>
      <w:r>
        <w:rPr>
          <w:highlight w:val="white"/>
          <w:shd w:val="clear" w:color="auto" w:fill="ea9999"/>
        </w:rPr>
      </w:r>
    </w:p>
    <w:p w14:paraId="00000002">
      <w:pPr>
        <w:pStyle w:val="671"/>
        <w:pBdr/>
        <w:spacing/>
        <w:ind/>
        <w:rPr>
          <w:b/>
          <w:bCs/>
          <w:highlight w:val="white"/>
          <w:shd w:val="clear" w:color="auto" w:fill="ffd966"/>
        </w:rPr>
      </w:pPr>
      <w:r>
        <w:rPr>
          <w:b/>
          <w:bCs/>
          <w:highlight w:val="white"/>
        </w:rPr>
      </w:r>
      <w:bookmarkStart w:id="1" w:name="_i2j56qcr2cz6"/>
      <w:r>
        <w:rPr>
          <w:b/>
          <w:bCs/>
          <w:highlight w:val="white"/>
        </w:rPr>
      </w:r>
      <w:bookmarkEnd w:id="1"/>
      <w:r>
        <w:rPr>
          <w:b/>
          <w:bCs/>
          <w:highlight w:val="white"/>
          <w:shd w:val="clear" w:color="auto" w:fill="ffd966"/>
          <w:rtl w:val="0"/>
          <w:lang w:val="en-IN"/>
        </w:rPr>
        <w:t xml:space="preserve">                          </w:t>
      </w:r>
      <w:r>
        <w:rPr>
          <w:b/>
          <w:bCs/>
          <w:highlight w:val="white"/>
          <w:shd w:val="clear" w:color="auto" w:fill="ffd966"/>
          <w:rtl w:val="0"/>
        </w:rPr>
        <w:t xml:space="preserve">A</w:t>
      </w:r>
      <w:r>
        <w:rPr>
          <w:b/>
          <w:bCs/>
          <w:highlight w:val="white"/>
          <w:shd w:val="clear" w:color="auto" w:fill="ffd966"/>
          <w:rtl w:val="0"/>
        </w:rPr>
        <w:t xml:space="preserve">SSIGNMENT 9.1</w:t>
      </w:r>
      <w:r>
        <w:rPr>
          <w:b/>
          <w:bCs/>
          <w:highlight w:val="white"/>
          <w:shd w:val="clear" w:color="auto" w:fill="ffd966"/>
        </w:rPr>
      </w:r>
    </w:p>
    <w:p w14:paraId="00000003">
      <w:pPr>
        <w:pBdr/>
        <w:spacing/>
        <w:ind/>
        <w:rPr>
          <w:b/>
          <w:bCs/>
          <w:highlight w:val="white"/>
        </w:rPr>
      </w:pPr>
      <w:r>
        <w:rPr>
          <w:b/>
          <w:bCs/>
          <w:highlight w:val="white"/>
          <w:rtl w:val="0"/>
        </w:rPr>
      </w:r>
      <w:r>
        <w:rPr>
          <w:b/>
          <w:bCs/>
          <w:highlight w:val="white"/>
        </w:rPr>
      </w:r>
    </w:p>
    <w:p w14:paraId="00000004">
      <w:pPr>
        <w:pBdr/>
        <w:spacing/>
        <w:ind/>
        <w:rPr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Name</w:t>
      </w:r>
      <w:r>
        <w:rPr>
          <w:sz w:val="30"/>
          <w:szCs w:val="30"/>
          <w:highlight w:val="white"/>
          <w:rtl w:val="0"/>
        </w:rPr>
        <w:t xml:space="preserve">: </w:t>
      </w:r>
      <w:r>
        <w:rPr>
          <w:sz w:val="30"/>
          <w:szCs w:val="30"/>
          <w:highlight w:val="white"/>
          <w:rtl w:val="0"/>
          <w:lang w:val="en-IN"/>
        </w:rPr>
        <w:t xml:space="preserve">K</w:t>
      </w:r>
      <w:r>
        <w:rPr>
          <w:sz w:val="30"/>
          <w:szCs w:val="30"/>
          <w:highlight w:val="none"/>
          <w:rtl w:val="0"/>
          <w:lang w:val="en-IN"/>
        </w:rPr>
        <w:t xml:space="preserve">.Saketh</w:t>
      </w:r>
      <w:r>
        <w:rPr>
          <w:sz w:val="30"/>
          <w:szCs w:val="30"/>
          <w:highlight w:val="white"/>
        </w:rPr>
      </w:r>
    </w:p>
    <w:p w14:paraId="00000005">
      <w:pPr>
        <w:pBdr/>
        <w:spacing/>
        <w:ind/>
        <w:rPr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HT No:</w:t>
      </w:r>
      <w:r>
        <w:rPr>
          <w:sz w:val="30"/>
          <w:szCs w:val="30"/>
          <w:highlight w:val="white"/>
          <w:rtl w:val="0"/>
        </w:rPr>
        <w:t xml:space="preserve"> </w:t>
      </w:r>
      <w:r>
        <w:rPr>
          <w:sz w:val="30"/>
          <w:szCs w:val="30"/>
          <w:highlight w:val="white"/>
          <w:rtl w:val="0"/>
          <w:lang w:val="en-IN"/>
        </w:rPr>
        <w:t xml:space="preserve">2</w:t>
      </w:r>
      <w:r>
        <w:rPr>
          <w:sz w:val="30"/>
          <w:szCs w:val="30"/>
          <w:highlight w:val="none"/>
          <w:rtl w:val="0"/>
          <w:lang w:val="en-IN"/>
        </w:rPr>
        <w:t xml:space="preserve">303A52489</w:t>
      </w:r>
      <w:r>
        <w:rPr>
          <w:sz w:val="30"/>
          <w:szCs w:val="30"/>
          <w:highlight w:val="white"/>
        </w:rPr>
      </w:r>
    </w:p>
    <w:p w14:paraId="00000006">
      <w:pPr>
        <w:pBdr/>
        <w:spacing/>
        <w:ind/>
        <w:rPr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  <w:rtl w:val="0"/>
        </w:rPr>
        <w:t xml:space="preserve">Batch:</w:t>
      </w:r>
      <w:r>
        <w:rPr>
          <w:sz w:val="30"/>
          <w:szCs w:val="30"/>
          <w:highlight w:val="white"/>
          <w:rtl w:val="0"/>
        </w:rPr>
        <w:t xml:space="preserve"> </w:t>
      </w:r>
      <w:r>
        <w:rPr>
          <w:sz w:val="30"/>
          <w:szCs w:val="30"/>
          <w:highlight w:val="white"/>
          <w:rtl w:val="0"/>
          <w:lang w:val="en-IN"/>
        </w:rPr>
        <w:t xml:space="preserve">31</w:t>
      </w:r>
      <w:r>
        <w:rPr>
          <w:highlight w:val="white"/>
          <w:rtl w:val="0"/>
        </w:rPr>
      </w:r>
      <w:r>
        <w:rPr>
          <w:sz w:val="30"/>
          <w:szCs w:val="30"/>
          <w:highlight w:val="white"/>
        </w:rPr>
      </w:r>
    </w:p>
    <w:p w14:paraId="00000007">
      <w:pPr>
        <w:pBdr/>
        <w:spacing/>
        <w:ind/>
        <w:rPr/>
      </w:pPr>
      <w:r>
        <w:rPr>
          <w:rtl w:val="0"/>
        </w:rPr>
      </w:r>
      <w:r/>
    </w:p>
    <w:p w14:paraId="00000008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Problem 1:</w:t>
      </w:r>
      <w:r>
        <w:rPr>
          <w:b/>
          <w:bCs/>
          <w:sz w:val="30"/>
          <w:szCs w:val="30"/>
        </w:rPr>
      </w:r>
    </w:p>
    <w:p w14:paraId="0000000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Consider the following Python function:</w:t>
      </w:r>
      <w:r>
        <w:rPr>
          <w:sz w:val="30"/>
          <w:szCs w:val="30"/>
        </w:rPr>
      </w:r>
    </w:p>
    <w:p w14:paraId="0000000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find_max(numbers):</w:t>
      </w:r>
      <w:r>
        <w:rPr>
          <w:sz w:val="30"/>
          <w:szCs w:val="30"/>
        </w:rPr>
      </w:r>
    </w:p>
    <w:p w14:paraId="0000000B">
      <w:pPr>
        <w:pBdr/>
        <w:spacing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max(numbers)</w:t>
      </w:r>
      <w:r>
        <w:rPr>
          <w:sz w:val="30"/>
          <w:szCs w:val="30"/>
        </w:rPr>
      </w:r>
    </w:p>
    <w:p w14:paraId="0000000C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b/>
          <w:bCs/>
          <w:sz w:val="30"/>
          <w:szCs w:val="30"/>
        </w:rPr>
      </w:r>
    </w:p>
    <w:p w14:paraId="0000000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Write documentation for the function in all three formats:</w:t>
      </w:r>
      <w:r>
        <w:rPr>
          <w:sz w:val="30"/>
          <w:szCs w:val="30"/>
        </w:rPr>
      </w:r>
    </w:p>
    <w:p w14:paraId="0000000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(a) Docstring</w:t>
      </w:r>
      <w:r>
        <w:rPr>
          <w:sz w:val="30"/>
          <w:szCs w:val="30"/>
        </w:rPr>
      </w:r>
    </w:p>
    <w:p w14:paraId="0000000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(b) Inline comments</w:t>
      </w:r>
      <w:r>
        <w:rPr>
          <w:sz w:val="30"/>
          <w:szCs w:val="30"/>
        </w:rPr>
      </w:r>
    </w:p>
    <w:p w14:paraId="0000001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(c) Google-style documentation</w:t>
      </w:r>
      <w:r>
        <w:rPr>
          <w:sz w:val="30"/>
          <w:szCs w:val="30"/>
        </w:rPr>
      </w:r>
    </w:p>
    <w:p w14:paraId="0000001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Critically compare the three approaches. Discuss the</w:t>
      </w:r>
      <w:r>
        <w:rPr>
          <w:sz w:val="30"/>
          <w:szCs w:val="30"/>
        </w:rPr>
      </w:r>
    </w:p>
    <w:p w14:paraId="0000001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advantages, disadvantages, and suitable use cases of each</w:t>
      </w:r>
      <w:r>
        <w:rPr>
          <w:sz w:val="30"/>
          <w:szCs w:val="30"/>
        </w:rPr>
      </w:r>
    </w:p>
    <w:p w14:paraId="0000001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style.</w:t>
      </w:r>
      <w:r>
        <w:rPr>
          <w:sz w:val="30"/>
          <w:szCs w:val="30"/>
        </w:rPr>
      </w:r>
    </w:p>
    <w:p w14:paraId="0000001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• Recommend which documentation style is most effective</w:t>
      </w:r>
      <w:r>
        <w:rPr>
          <w:sz w:val="30"/>
          <w:szCs w:val="30"/>
        </w:rPr>
      </w:r>
    </w:p>
    <w:p w14:paraId="0000001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 a mathematical utilities library and justify your</w:t>
      </w:r>
      <w:r>
        <w:rPr>
          <w:sz w:val="30"/>
          <w:szCs w:val="30"/>
        </w:rPr>
      </w:r>
    </w:p>
    <w:p w14:paraId="0000001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answer.</w:t>
      </w:r>
      <w:r>
        <w:rPr>
          <w:sz w:val="30"/>
          <w:szCs w:val="30"/>
        </w:rPr>
      </w:r>
    </w:p>
    <w:p w14:paraId="00000017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1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(a) Docstring</w:t>
      </w:r>
      <w:r>
        <w:rPr>
          <w:sz w:val="30"/>
          <w:szCs w:val="30"/>
        </w:rPr>
      </w:r>
    </w:p>
    <w:p w14:paraId="00000019">
      <w:pPr>
        <w:pBdr/>
        <w:spacing/>
        <w:ind/>
        <w:rPr/>
      </w:pPr>
      <w:r>
        <w:rPr>
          <w:rtl w:val="0"/>
        </w:rPr>
      </w:r>
      <w:r/>
    </w:p>
    <w:p w14:paraId="0000001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9602" cy="2586038"/>
                <wp:effectExtent l="0" t="0" r="0" b="0"/>
                <wp:docPr id="1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89602" cy="25860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39pt;height:203.63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B">
      <w:pPr>
        <w:pBdr/>
        <w:spacing/>
        <w:ind/>
        <w:rPr/>
      </w:pPr>
      <w:r>
        <w:rPr>
          <w:rtl w:val="0"/>
        </w:rPr>
      </w:r>
      <w:r/>
    </w:p>
    <w:p w14:paraId="0000001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(b) Inline comments</w:t>
      </w:r>
      <w:r>
        <w:rPr>
          <w:sz w:val="30"/>
          <w:szCs w:val="30"/>
        </w:rPr>
      </w:r>
    </w:p>
    <w:p w14:paraId="0000001D">
      <w:pPr>
        <w:pBdr/>
        <w:spacing/>
        <w:ind/>
        <w:rPr/>
      </w:pPr>
      <w:r>
        <w:rPr>
          <w:rtl w:val="0"/>
        </w:rPr>
      </w:r>
      <w:r/>
    </w:p>
    <w:p w14:paraId="0000001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295400"/>
                <wp:effectExtent l="0" t="0" r="0" b="0"/>
                <wp:docPr id="2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29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102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(c) Google-style documentation</w:t>
      </w:r>
      <w:r>
        <w:rPr>
          <w:sz w:val="30"/>
          <w:szCs w:val="30"/>
        </w:rPr>
      </w:r>
    </w:p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7959" cy="2490788"/>
                <wp:effectExtent l="0" t="0" r="0" b="0"/>
                <wp:docPr id="3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27959" cy="24907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7.16pt;height:196.13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/>
    </w:p>
    <w:p w14:paraId="0000002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Critically compare the three approaches. Discuss the advantages, disadvantages, and suitable use cases of each style.</w:t>
      </w:r>
      <w:r>
        <w:rPr>
          <w:sz w:val="30"/>
          <w:szCs w:val="30"/>
        </w:rPr>
      </w:r>
    </w:p>
    <w:p w14:paraId="00000024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25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tbl>
      <w:tblPr>
        <w:tblStyle w:val="679"/>
        <w:tblW w:w="9524" w:type="dxa"/>
        <w:tblBorders>
          <w:top w:val="single" w:color="000000" w:sz="5" w:space="0"/>
          <w:left w:val="single" w:color="000000" w:sz="5" w:space="0"/>
          <w:bottom w:val="single" w:color="000000" w:sz="5" w:space="0"/>
          <w:right w:val="single" w:color="000000" w:sz="5" w:space="0"/>
          <w:insideH w:val="single" w:color="000000" w:sz="5" w:space="0"/>
          <w:insideV w:val="single" w:color="000000" w:sz="5" w:space="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  <w:tblGridChange w:id="0">
          <w:tblGrid>
            <w:gridCol w:w="2381"/>
            <w:gridCol w:w="2381"/>
            <w:gridCol w:w="2381"/>
            <w:gridCol w:w="2381"/>
          </w:tblGrid>
        </w:tblGridChange>
      </w:tblGrid>
      <w:tr>
        <w:trPr>
          <w:cantSplit w:val="false"/>
          <w:trHeight w:val="66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6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Aspect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7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Docstring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8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Inline Comments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9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Google-style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A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Readability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B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Good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C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Minimal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D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Excellent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E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IDE Support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2F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Native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0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None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1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Native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2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Formality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3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Standard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4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Casual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5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Professional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6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Maintenance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7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Easy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8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Tedious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9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Structured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A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Type Hints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B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Optional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C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Unclear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D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Explicit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E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Examples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3F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Rare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0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Never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1">
            <w:pPr>
              <w:pBdr/>
              <w:spacing w:line="24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Common</w:t>
            </w:r>
            <w:r>
              <w:rPr>
                <w:sz w:val="28"/>
                <w:szCs w:val="28"/>
              </w:rPr>
            </w:r>
          </w:p>
        </w:tc>
      </w:tr>
    </w:tbl>
    <w:p w14:paraId="0000004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4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tbl>
      <w:tblPr>
        <w:tblStyle w:val="680"/>
        <w:tblW w:w="9354" w:type="dxa"/>
        <w:tblBorders>
          <w:top w:val="single" w:color="000000" w:sz="5" w:space="0"/>
          <w:left w:val="single" w:color="000000" w:sz="5" w:space="0"/>
          <w:bottom w:val="single" w:color="000000" w:sz="5" w:space="0"/>
          <w:right w:val="single" w:color="000000" w:sz="5" w:space="0"/>
          <w:insideH w:val="single" w:color="000000" w:sz="5" w:space="0"/>
          <w:insideV w:val="single" w:color="000000" w:sz="5" w:space="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  <w:tblGridChange w:id="1">
          <w:tblGrid>
            <w:gridCol w:w="3118"/>
            <w:gridCol w:w="3118"/>
            <w:gridCol w:w="3118"/>
          </w:tblGrid>
        </w:tblGridChange>
      </w:tblGrid>
      <w:tr>
        <w:trPr>
          <w:cantSplit w:val="false"/>
          <w:trHeight w:val="390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4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Format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5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Advantages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6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Disadvantages</w:t>
            </w:r>
            <w:r>
              <w:rPr>
                <w:sz w:val="30"/>
                <w:szCs w:val="30"/>
              </w:rPr>
            </w:r>
          </w:p>
        </w:tc>
      </w:tr>
      <w:tr>
        <w:trPr>
          <w:cantSplit w:val="false"/>
          <w:trHeight w:val="915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7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Docstring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8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IDE tooltips, help() function, simple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9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Lacks structure, minimal detail</w:t>
            </w:r>
            <w:r>
              <w:rPr>
                <w:sz w:val="30"/>
                <w:szCs w:val="30"/>
              </w:rPr>
            </w:r>
          </w:p>
        </w:tc>
      </w:tr>
      <w:tr>
        <w:trPr>
          <w:cantSplit w:val="false"/>
          <w:trHeight w:val="915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A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Inline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B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Code-adjacent clarity, detailed logic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C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Not accessible to tools, clutters code</w:t>
            </w:r>
            <w:r>
              <w:rPr>
                <w:sz w:val="30"/>
                <w:szCs w:val="30"/>
              </w:rPr>
            </w:r>
          </w:p>
        </w:tc>
      </w:tr>
      <w:tr>
        <w:trPr>
          <w:cantSplit w:val="false"/>
          <w:trHeight w:val="1185"/>
        </w:trPr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D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Google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E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Professional standard, type specs, examples</w:t>
            </w:r>
            <w:r>
              <w:rPr>
                <w:sz w:val="30"/>
                <w:szCs w:val="30"/>
              </w:rPr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vAlign w:val="top"/>
            <w:textDirection w:val="lrTb"/>
            <w:noWrap w:val="false"/>
          </w:tcPr>
          <w:p w14:paraId="0000004F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 xml:space="preserve">Verbose, requires more effort</w:t>
            </w:r>
            <w:r>
              <w:rPr>
                <w:sz w:val="30"/>
                <w:szCs w:val="30"/>
              </w:rPr>
            </w:r>
          </w:p>
          <w:p w14:paraId="00000050">
            <w:pPr>
              <w:pBdr/>
              <w:spacing w:line="240" w:lineRule="auto"/>
              <w:ind/>
              <w:rPr>
                <w:sz w:val="30"/>
                <w:szCs w:val="30"/>
              </w:rPr>
            </w:pPr>
            <w:r>
              <w:rPr>
                <w:rtl w:val="0"/>
              </w:rPr>
            </w:r>
            <w:r>
              <w:rPr>
                <w:sz w:val="30"/>
                <w:szCs w:val="30"/>
              </w:rPr>
            </w:r>
          </w:p>
        </w:tc>
      </w:tr>
    </w:tbl>
    <w:p w14:paraId="0000005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5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Google-style documentation is most effective for a mathematical utilities library because it is professional, structured, and clear.</w:t>
      </w:r>
      <w:r>
        <w:rPr>
          <w:sz w:val="30"/>
          <w:szCs w:val="30"/>
        </w:rPr>
      </w:r>
    </w:p>
    <w:p w14:paraId="00000053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54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Problem 2:</w:t>
      </w:r>
      <w:r>
        <w:rPr>
          <w:sz w:val="30"/>
          <w:szCs w:val="30"/>
          <w:rtl w:val="0"/>
        </w:rPr>
        <w:t xml:space="preserve"> Consider the following Python function:</w:t>
      </w:r>
      <w:r>
        <w:rPr>
          <w:sz w:val="30"/>
          <w:szCs w:val="30"/>
        </w:rPr>
      </w:r>
    </w:p>
    <w:p w14:paraId="0000005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 login(user, password, credentials):</w:t>
      </w:r>
      <w:r>
        <w:rPr>
          <w:sz w:val="30"/>
          <w:szCs w:val="30"/>
        </w:rPr>
      </w:r>
    </w:p>
    <w:p w14:paraId="00000056">
      <w:pPr>
        <w:pBdr/>
        <w:spacing/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return credentials.get(user) == password</w:t>
      </w:r>
      <w:r>
        <w:rPr>
          <w:sz w:val="30"/>
          <w:szCs w:val="30"/>
        </w:rPr>
      </w:r>
    </w:p>
    <w:p w14:paraId="0000005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b/>
          <w:bCs/>
          <w:sz w:val="30"/>
          <w:szCs w:val="30"/>
        </w:rPr>
      </w:r>
    </w:p>
    <w:p w14:paraId="0000005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1. Write documentation in all three formats.</w:t>
      </w:r>
      <w:r>
        <w:rPr>
          <w:sz w:val="30"/>
          <w:szCs w:val="30"/>
        </w:rPr>
      </w:r>
    </w:p>
    <w:p w14:paraId="0000005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2. Critically compare the approaches.</w:t>
      </w:r>
      <w:r>
        <w:rPr>
          <w:sz w:val="30"/>
          <w:szCs w:val="30"/>
        </w:rPr>
      </w:r>
    </w:p>
    <w:p w14:paraId="0000005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3. Recommend which style would be most helpful for new</w:t>
      </w:r>
      <w:r>
        <w:rPr>
          <w:sz w:val="30"/>
          <w:szCs w:val="30"/>
        </w:rPr>
      </w:r>
    </w:p>
    <w:p w14:paraId="0000005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developers onboarding a project, and justify your choice.</w:t>
      </w:r>
      <w:r>
        <w:rPr>
          <w:sz w:val="30"/>
          <w:szCs w:val="30"/>
        </w:rPr>
      </w:r>
    </w:p>
    <w:p w14:paraId="0000005C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5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701800"/>
                <wp:effectExtent l="0" t="0" r="0" b="0"/>
                <wp:docPr id="4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701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134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73400"/>
                <wp:effectExtent l="0" t="0" r="0" b="0"/>
                <wp:docPr id="5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7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242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270000"/>
                <wp:effectExtent l="0" t="0" r="0" b="0"/>
                <wp:docPr id="6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27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100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60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6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tbl>
      <w:tblPr>
        <w:tblStyle w:val="681"/>
        <w:tblW w:w="1009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  <w:tblGridChange w:id="2">
          <w:tblGrid>
            <w:gridCol w:w="2381"/>
            <w:gridCol w:w="2381"/>
            <w:gridCol w:w="2381"/>
            <w:gridCol w:w="2948"/>
          </w:tblGrid>
        </w:tblGridChange>
      </w:tblGrid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 xml:space="preserve">Point</w:t>
            </w:r>
            <w:r>
              <w:rPr>
                <w:rtl w:val="0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 xml:space="preserve">Inline</w:t>
            </w:r>
            <w:r>
              <w:rPr>
                <w:rtl w:val="0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 xml:space="preserve">Docstring</w:t>
            </w:r>
            <w:r>
              <w:rPr>
                <w:rtl w:val="0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 xml:space="preserve">Google Style</w:t>
            </w:r>
            <w:r>
              <w:rPr>
                <w:rtl w:val="0"/>
              </w:rPr>
            </w:r>
            <w:r>
              <w:rPr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Clear for beginners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No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Yes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Yes, very clear</w:t>
            </w:r>
            <w:r>
              <w:rPr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Structured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No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Somewhat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Yes</w:t>
            </w:r>
            <w:r>
              <w:rPr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Professional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F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No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0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Medium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1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Yes</w:t>
            </w:r>
            <w:r>
              <w:rPr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2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For big projects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3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No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4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Okay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5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Yes</w:t>
            </w:r>
            <w:r>
              <w:rPr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6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Best for onboarding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No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8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Good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9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Best</w:t>
            </w:r>
            <w:r>
              <w:rPr>
                <w:sz w:val="26"/>
                <w:szCs w:val="26"/>
              </w:rPr>
            </w:r>
          </w:p>
        </w:tc>
      </w:tr>
    </w:tbl>
    <w:p w14:paraId="0000007A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New developers need clarity, structure, and consistency.</w:t>
      </w:r>
      <w:r>
        <w:rPr>
          <w:sz w:val="30"/>
          <w:szCs w:val="30"/>
        </w:rPr>
      </w:r>
    </w:p>
    <w:p w14:paraId="0000007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Google style clearly explains inputs, outputs, and possible errors</w:t>
      </w:r>
      <w:r>
        <w:rPr>
          <w:sz w:val="30"/>
          <w:szCs w:val="30"/>
        </w:rPr>
      </w:r>
    </w:p>
    <w:p w14:paraId="0000007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Therefore, for onboarding new developers in a real project, </w:t>
      </w:r>
      <w:r>
        <w:rPr>
          <w:sz w:val="30"/>
          <w:szCs w:val="30"/>
        </w:rPr>
      </w:r>
    </w:p>
    <w:p w14:paraId="0000007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It scales well in real-world production systems.</w:t>
      </w:r>
      <w:r>
        <w:rPr>
          <w:sz w:val="30"/>
          <w:szCs w:val="30"/>
        </w:rPr>
      </w:r>
    </w:p>
    <w:p w14:paraId="0000007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It supports automated documentation generation.</w:t>
      </w:r>
      <w:r>
        <w:rPr>
          <w:sz w:val="30"/>
          <w:szCs w:val="30"/>
        </w:rPr>
      </w:r>
    </w:p>
    <w:p w14:paraId="0000008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It reduces ambiguity in collaborative projects.</w:t>
      </w:r>
      <w:r>
        <w:rPr>
          <w:sz w:val="30"/>
          <w:szCs w:val="30"/>
        </w:rPr>
      </w:r>
    </w:p>
    <w:p w14:paraId="0000008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Google-style documentation is the most helpful approach.</w: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8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Problem 3: Calculator (Automatic Documentation Generation)</w:t>
      </w:r>
      <w:r>
        <w:rPr>
          <w:sz w:val="30"/>
          <w:szCs w:val="30"/>
        </w:rPr>
      </w:r>
    </w:p>
    <w:p w14:paraId="0000008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Task: Design a Python module named calculator.py and</w:t>
      </w:r>
      <w:r>
        <w:rPr>
          <w:sz w:val="30"/>
          <w:szCs w:val="30"/>
        </w:rPr>
      </w:r>
    </w:p>
    <w:p w14:paraId="0000008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demonstrate automatic documentation generation.</w:t>
      </w:r>
      <w:r>
        <w:rPr>
          <w:sz w:val="30"/>
          <w:szCs w:val="30"/>
        </w:rPr>
      </w:r>
    </w:p>
    <w:p w14:paraId="0000008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Instructions:</w:t>
      </w:r>
      <w:r>
        <w:rPr>
          <w:sz w:val="30"/>
          <w:szCs w:val="30"/>
        </w:rPr>
      </w:r>
    </w:p>
    <w:p w14:paraId="0000008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1. Create a Python module calculator.py that includes the</w:t>
      </w:r>
      <w:r>
        <w:rPr>
          <w:sz w:val="30"/>
          <w:szCs w:val="30"/>
        </w:rPr>
      </w:r>
    </w:p>
    <w:p w14:paraId="0000008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following functions, each written with appropriate docstrings:</w:t>
      </w:r>
      <w:r>
        <w:rPr>
          <w:sz w:val="30"/>
          <w:szCs w:val="30"/>
        </w:rPr>
      </w:r>
    </w:p>
    <w:p w14:paraId="0000008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add(a, b) – returns the sum of two numbers</w:t>
      </w:r>
      <w:r>
        <w:rPr>
          <w:sz w:val="30"/>
          <w:szCs w:val="30"/>
        </w:rPr>
      </w:r>
    </w:p>
    <w:p w14:paraId="0000008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subtract(a, b) – returns the difference of two numbers</w:t>
      </w:r>
      <w:r>
        <w:rPr>
          <w:sz w:val="30"/>
          <w:szCs w:val="30"/>
        </w:rPr>
      </w:r>
    </w:p>
    <w:p w14:paraId="0000008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multiply(a, b) – returns the product of two numbers</w:t>
      </w:r>
      <w:r>
        <w:rPr>
          <w:sz w:val="30"/>
          <w:szCs w:val="30"/>
        </w:rPr>
      </w:r>
    </w:p>
    <w:p w14:paraId="0000008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divide(a, b) – returns the quotient of two numbers</w:t>
      </w:r>
      <w:r>
        <w:rPr>
          <w:sz w:val="30"/>
          <w:szCs w:val="30"/>
        </w:rPr>
      </w:r>
    </w:p>
    <w:p w14:paraId="0000008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2. Display the module documentation in the terminal using</w:t>
      </w:r>
      <w:r>
        <w:rPr>
          <w:sz w:val="30"/>
          <w:szCs w:val="30"/>
        </w:rPr>
      </w:r>
    </w:p>
    <w:p w14:paraId="0000008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Python’s documentation tools.</w:t>
      </w:r>
      <w:r>
        <w:rPr>
          <w:sz w:val="30"/>
          <w:szCs w:val="30"/>
        </w:rPr>
      </w:r>
    </w:p>
    <w:p w14:paraId="0000008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3. Generate and export the module documentation in HTML</w:t>
      </w:r>
      <w:r>
        <w:rPr>
          <w:sz w:val="30"/>
          <w:szCs w:val="30"/>
        </w:rPr>
      </w:r>
    </w:p>
    <w:p w14:paraId="0000008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format using the pydoc utility, and open the generated HTML</w:t>
      </w:r>
      <w:r>
        <w:rPr>
          <w:sz w:val="30"/>
          <w:szCs w:val="30"/>
        </w:rPr>
      </w:r>
    </w:p>
    <w:p w14:paraId="0000009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file in a web browser to verify the output.</w:t>
      </w:r>
      <w:r>
        <w:rPr>
          <w:sz w:val="30"/>
          <w:szCs w:val="30"/>
        </w:rPr>
      </w:r>
    </w:p>
    <w:p w14:paraId="0000009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9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937000"/>
                <wp:effectExtent l="0" t="0" r="0" b="0"/>
                <wp:docPr id="7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937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310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3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108700"/>
                <wp:effectExtent l="0" t="0" r="0" b="0"/>
                <wp:docPr id="8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10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28pt;height:481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4800"/>
                <wp:effectExtent l="0" t="0" r="0" b="0"/>
                <wp:docPr id="9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24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6762750"/>
                <wp:effectExtent l="0" t="0" r="0" b="0"/>
                <wp:docPr id="1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43475" cy="6762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89.25pt;height:532.5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9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324600"/>
                <wp:effectExtent l="0" t="0" r="0" b="0"/>
                <wp:docPr id="11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32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498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76938" cy="5509397"/>
                <wp:effectExtent l="0" t="0" r="0" b="0"/>
                <wp:docPr id="12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9"/>
                        <a:srcRect l="0" t="0" r="21429" b="0"/>
                        <a:stretch/>
                      </pic:blipFill>
                      <pic:spPr bwMode="auto">
                        <a:xfrm>
                          <a:off x="0" y="0"/>
                          <a:ext cx="5976938" cy="55093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0.63pt;height:433.81pt;mso-wrap-distance-left:0.00pt;mso-wrap-distance-top:0.00pt;mso-wrap-distance-right:0.00pt;mso-wrap-distance-bottom:0.00pt;z-index:1;">
                <v:imagedata r:id="rId19" o:title="" croptop="0f" cropleft="0f" cropbottom="0f" cropright="14044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98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99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Problem 4:</w:t>
      </w:r>
      <w:r>
        <w:rPr>
          <w:sz w:val="30"/>
          <w:szCs w:val="30"/>
          <w:rtl w:val="0"/>
        </w:rPr>
        <w:t xml:space="preserve"> Conversion Utilities Module</w:t>
      </w:r>
      <w:r>
        <w:rPr>
          <w:sz w:val="30"/>
          <w:szCs w:val="30"/>
        </w:rPr>
      </w:r>
    </w:p>
    <w:p w14:paraId="0000009A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b/>
          <w:bCs/>
          <w:sz w:val="30"/>
          <w:szCs w:val="30"/>
        </w:rPr>
      </w:r>
    </w:p>
    <w:p w14:paraId="0000009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1. Write a module named conversion.py with functions:</w:t>
      </w:r>
      <w:r>
        <w:rPr>
          <w:sz w:val="30"/>
          <w:szCs w:val="30"/>
        </w:rPr>
      </w:r>
    </w:p>
    <w:p w14:paraId="0000009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decimal_to_binary(n)</w:t>
      </w:r>
      <w:r>
        <w:rPr>
          <w:sz w:val="30"/>
          <w:szCs w:val="30"/>
        </w:rPr>
      </w:r>
    </w:p>
    <w:p w14:paraId="0000009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binary_to_decimal(b)</w:t>
      </w:r>
      <w:r>
        <w:rPr>
          <w:sz w:val="30"/>
          <w:szCs w:val="30"/>
        </w:rPr>
      </w:r>
    </w:p>
    <w:p w14:paraId="0000009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decimal_to_hexadecimal(n)</w:t>
      </w:r>
      <w:r>
        <w:rPr>
          <w:sz w:val="30"/>
          <w:szCs w:val="30"/>
        </w:rPr>
      </w:r>
    </w:p>
    <w:p w14:paraId="0000009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2. Use Copilot for auto-generating docstrings.</w:t>
      </w:r>
      <w:r>
        <w:rPr>
          <w:sz w:val="30"/>
          <w:szCs w:val="30"/>
        </w:rPr>
      </w:r>
    </w:p>
    <w:p w14:paraId="000000A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3. Generate documentation in the terminal.</w:t>
      </w:r>
      <w:r>
        <w:rPr>
          <w:sz w:val="30"/>
          <w:szCs w:val="30"/>
        </w:rPr>
      </w:r>
    </w:p>
    <w:p w14:paraId="000000A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4. Export the documentation in HTML format and open it in a</w:t>
      </w:r>
      <w:r>
        <w:rPr>
          <w:sz w:val="30"/>
          <w:szCs w:val="30"/>
        </w:rPr>
      </w:r>
    </w:p>
    <w:p w14:paraId="000000A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browser.</w:t>
      </w:r>
      <w:r>
        <w:rPr>
          <w:sz w:val="30"/>
          <w:szCs w:val="30"/>
        </w:rPr>
      </w:r>
    </w:p>
    <w:p w14:paraId="000000A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A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064000"/>
                <wp:effectExtent l="0" t="0" r="0" b="0"/>
                <wp:docPr id="1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06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28pt;height:320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A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775200"/>
                <wp:effectExtent l="0" t="0" r="0" b="0"/>
                <wp:docPr id="14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775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28pt;height:376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A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743200"/>
                <wp:effectExtent l="0" t="0" r="0" b="0"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743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28pt;height:216.0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A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848100"/>
                <wp:effectExtent l="0" t="0" r="0" b="0"/>
                <wp:docPr id="1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84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28pt;height:303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A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165600"/>
                <wp:effectExtent l="0" t="0" r="0" b="0"/>
                <wp:docPr id="17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16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28pt;height:328.00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A9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Problem 5</w:t>
      </w:r>
      <w:r>
        <w:rPr>
          <w:sz w:val="30"/>
          <w:szCs w:val="30"/>
          <w:rtl w:val="0"/>
        </w:rPr>
        <w:t xml:space="preserve"> – Course Management Module</w:t>
      </w:r>
      <w:r>
        <w:rPr>
          <w:sz w:val="30"/>
          <w:szCs w:val="30"/>
        </w:rPr>
      </w:r>
    </w:p>
    <w:p w14:paraId="000000AA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</w:r>
      <w:r>
        <w:rPr>
          <w:b/>
          <w:bCs/>
          <w:sz w:val="30"/>
          <w:szCs w:val="30"/>
        </w:rPr>
      </w:r>
    </w:p>
    <w:p w14:paraId="000000A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1. Create a module course.py with functions:</w:t>
      </w:r>
      <w:r>
        <w:rPr>
          <w:sz w:val="30"/>
          <w:szCs w:val="30"/>
        </w:rPr>
      </w:r>
    </w:p>
    <w:p w14:paraId="000000A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add_course(course_id, name, credits)</w:t>
      </w:r>
      <w:r>
        <w:rPr>
          <w:sz w:val="30"/>
          <w:szCs w:val="30"/>
        </w:rPr>
      </w:r>
    </w:p>
    <w:p w14:paraId="000000A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remove_course(course_id)</w:t>
      </w:r>
      <w:r>
        <w:rPr>
          <w:sz w:val="30"/>
          <w:szCs w:val="30"/>
        </w:rPr>
      </w:r>
    </w:p>
    <w:p w14:paraId="000000A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 get_course(course_id)</w:t>
      </w:r>
      <w:r>
        <w:rPr>
          <w:sz w:val="30"/>
          <w:szCs w:val="30"/>
        </w:rPr>
      </w:r>
    </w:p>
    <w:p w14:paraId="000000A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2. Add docstrings with Copilot.</w:t>
      </w:r>
      <w:r>
        <w:rPr>
          <w:sz w:val="30"/>
          <w:szCs w:val="30"/>
        </w:rPr>
      </w:r>
    </w:p>
    <w:p w14:paraId="000000B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3. Generate documentation in the terminal.</w:t>
      </w:r>
      <w:r>
        <w:rPr>
          <w:sz w:val="30"/>
          <w:szCs w:val="30"/>
        </w:rPr>
      </w:r>
    </w:p>
    <w:p w14:paraId="000000B1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4. Export the documentation in HTML format and open it in a</w:t>
      </w:r>
      <w:r>
        <w:rPr>
          <w:sz w:val="30"/>
          <w:szCs w:val="30"/>
        </w:rPr>
      </w:r>
    </w:p>
    <w:p w14:paraId="000000B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browser.</w:t>
      </w:r>
      <w:r>
        <w:rPr>
          <w:sz w:val="30"/>
          <w:szCs w:val="30"/>
        </w:rPr>
      </w:r>
    </w:p>
    <w:p w14:paraId="000000B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B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921000"/>
                <wp:effectExtent l="0" t="0" r="0" b="0"/>
                <wp:docPr id="18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921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28pt;height:230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5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B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191000"/>
                <wp:effectExtent l="0" t="0" r="0" b="0"/>
                <wp:docPr id="19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191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28pt;height:330.00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406900"/>
                <wp:effectExtent l="0" t="0" r="0" b="0"/>
                <wp:docPr id="2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406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28pt;height:347.00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826000"/>
                <wp:effectExtent l="0" t="0" r="0" b="0"/>
                <wp:docPr id="2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82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28pt;height:380.00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B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787900"/>
                <wp:effectExtent l="0" t="0" r="0" b="0"/>
                <wp:docPr id="2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787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28pt;height:377.00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shd w:val="clear" w:color="auto" w:fill="181818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shd w:val="clear" w:color="auto" w:fill="181818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StGen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