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pPr>
    </w:p>
    <w:p>
      <w:pPr>
        <w:spacing w:before="0" w:after="160"/>
        <w:jc w:val="center"/>
      </w:pPr>
      <w:r>
        <w:rPr>
          <w:rFonts w:ascii="Arial" w:cs="Arial" w:eastAsia="Arial" w:hAnsi="Arial"/>
          <w:b/>
          <w:bCs/>
          <w:color w:val="1F4E79"/>
          <w:sz w:val="40"/>
          <w:szCs w:val="40"/>
        </w:rPr>
        <w:t xml:space="preserve">INFORME DE ANÁLISIS ESTADÍSTICO</w:t>
      </w:r>
    </w:p>
    <w:p>
      <w:pPr>
        <w:pBdr>
          <w:bottom w:val="single" w:color="2E75B6" w:sz="8" w:space="6"/>
        </w:pBdr>
        <w:spacing w:before="0" w:after="320"/>
        <w:jc w:val="center"/>
      </w:pPr>
      <w:r>
        <w:rPr>
          <w:rFonts w:ascii="Arial" w:cs="Arial" w:eastAsia="Arial" w:hAnsi="Arial"/>
          <w:color w:val="2E75B6"/>
          <w:sz w:val="28"/>
          <w:szCs w:val="28"/>
        </w:rPr>
        <w:t xml:space="preserve">Factores que Influyen en el Desempeño Académico Universitario</w:t>
      </w:r>
    </w:p>
    <w:p>
      <w:pPr>
        <w:spacing w:before="0" w:after="400"/>
      </w:pPr>
    </w:p>
    <w:p>
      <w:pPr>
        <w:jc w:val="center"/>
      </w:pPr>
      <w:r>
        <w:rPr>
          <w:rFonts w:ascii="Arial" w:cs="Arial" w:eastAsia="Arial" w:hAnsi="Arial"/>
          <w:color w:val="595959"/>
          <w:sz w:val="22"/>
          <w:szCs w:val="22"/>
        </w:rPr>
        <w:t xml:space="preserve">Dataset: Students_Grading_Dataset.csv  •  N = 5.000 registros</w:t>
      </w:r>
    </w:p>
    <w:p>
      <w:pPr>
        <w:spacing w:before="0" w:after="120"/>
      </w:pPr>
    </w:p>
    <w:p>
      <w:pPr>
        <w:jc w:val="center"/>
      </w:pPr>
      <w:r>
        <w:rPr>
          <w:rFonts w:ascii="Arial" w:cs="Arial" w:eastAsia="Arial" w:hAnsi="Arial"/>
          <w:color w:val="595959"/>
          <w:sz w:val="22"/>
          <w:szCs w:val="22"/>
        </w:rPr>
        <w:t xml:space="preserve">Dirección de Asuntos Estudiantiles – Universidad Privada EE.UU.</w:t>
      </w:r>
    </w:p>
    <w:p>
      <w:pPr>
        <w:spacing w:before="0" w:after="120"/>
      </w:pPr>
    </w:p>
    <w:p>
      <w:pPr>
        <w:jc w:val="center"/>
      </w:pPr>
      <w:r>
        <w:rPr>
          <w:rFonts w:ascii="Arial" w:cs="Arial" w:eastAsia="Arial" w:hAnsi="Arial"/>
          <w:color w:val="595959"/>
          <w:sz w:val="22"/>
          <w:szCs w:val="22"/>
        </w:rPr>
        <w:t xml:space="preserve">Autor: Nombre Apellido  •  Marzo 2026</w:t>
      </w:r>
    </w:p>
    <w:p>
      <w:pPr>
        <w:spacing w:before="0" w:after="3000"/>
      </w:pP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1. Introducción</w:t>
      </w:r>
    </w:p>
    <w:p>
      <w:pPr>
        <w:spacing w:before="0" w:after="120"/>
        <w:jc w:val="both"/>
      </w:pPr>
      <w:r>
        <w:rPr>
          <w:rFonts w:ascii="Arial" w:cs="Arial" w:eastAsia="Arial" w:hAnsi="Arial"/>
          <w:b w:val="false"/>
          <w:bCs w:val="false"/>
          <w:color w:val="1A1A1A"/>
          <w:sz w:val="22"/>
          <w:szCs w:val="22"/>
        </w:rPr>
        <w:t xml:space="preserve">La Dirección de Asuntos Estudiantiles de una universidad privada de EE.UU. ha encargado el presente estudio con el objetivo de respaldar con evidencia estadística su plan de apoyo académico y bienestar para los próximos años. Para ello se analizó el archivo Students_Grading_Dataset.csv, que contiene 5.000 registros de estudiantes universitarios con variables demográficas, académicas y de hábitos personales.</w:t>
      </w:r>
    </w:p>
    <w:p>
      <w:pPr>
        <w:spacing w:before="0" w:after="80"/>
      </w:pPr>
    </w:p>
    <w:p>
      <w:pPr>
        <w:spacing w:before="0" w:after="120"/>
        <w:jc w:val="both"/>
      </w:pPr>
      <w:r>
        <w:rPr>
          <w:rFonts w:ascii="Arial" w:cs="Arial" w:eastAsia="Arial" w:hAnsi="Arial"/>
          <w:b w:val="false"/>
          <w:bCs w:val="false"/>
          <w:color w:val="1A1A1A"/>
          <w:sz w:val="22"/>
          <w:szCs w:val="22"/>
        </w:rPr>
        <w:t xml:space="preserve">El análisis busca responder con evidencia estadística las siguientes preguntas:</w:t>
      </w:r>
    </w:p>
    <w:p>
      <w:pPr>
        <w:pStyle w:val="ListParagraph"/>
        <w:numPr>
          <w:ilvl w:val="0"/>
          <w:numId w:val="2"/>
        </w:numPr>
        <w:spacing w:before="0" w:after="80"/>
      </w:pPr>
      <w:r>
        <w:rPr>
          <w:rFonts w:ascii="Arial" w:cs="Arial" w:eastAsia="Arial" w:hAnsi="Arial"/>
          <w:color w:val="1A1A1A"/>
          <w:sz w:val="22"/>
          <w:szCs w:val="22"/>
        </w:rPr>
        <w:t xml:space="preserve">¿Existe evidencia de que dedicar más horas de estudio semanal mejore el desempeño académico global?</w:t>
      </w:r>
    </w:p>
    <w:p>
      <w:pPr>
        <w:pStyle w:val="ListParagraph"/>
        <w:numPr>
          <w:ilvl w:val="0"/>
          <w:numId w:val="2"/>
        </w:numPr>
        <w:spacing w:before="0" w:after="80"/>
      </w:pPr>
      <w:r>
        <w:rPr>
          <w:rFonts w:ascii="Arial" w:cs="Arial" w:eastAsia="Arial" w:hAnsi="Arial"/>
          <w:color w:val="1A1A1A"/>
          <w:sz w:val="22"/>
          <w:szCs w:val="22"/>
        </w:rPr>
        <w:t xml:space="preserve">¿En qué medida afecta el nivel de estrés en las calificaciones finales?</w:t>
      </w:r>
    </w:p>
    <w:p>
      <w:pPr>
        <w:spacing w:before="0" w:after="80"/>
      </w:pPr>
    </w:p>
    <w:p>
      <w:pPr>
        <w:pStyle w:val="Heading2"/>
        <w:spacing w:before="240" w:after="120"/>
      </w:pPr>
      <w:r>
        <w:rPr>
          <w:rFonts w:ascii="Arial" w:cs="Arial" w:eastAsia="Arial" w:hAnsi="Arial"/>
          <w:b/>
          <w:bCs/>
          <w:color w:val="2E75B6"/>
          <w:sz w:val="24"/>
          <w:szCs w:val="24"/>
        </w:rPr>
        <w:t xml:space="preserve">1.1 Hipótesis formuladas</w:t>
      </w:r>
    </w:p>
    <w:p>
      <w:pPr>
        <w:spacing w:before="200" w:after="80"/>
      </w:pPr>
      <w:r>
        <w:rPr>
          <w:rFonts w:ascii="Arial" w:cs="Arial" w:eastAsia="Arial" w:hAnsi="Arial"/>
          <w:b/>
          <w:bCs/>
          <w:color w:val="1F4E79"/>
          <w:sz w:val="22"/>
          <w:szCs w:val="22"/>
        </w:rPr>
        <w:t xml:space="preserve">Hipótesis 1 – Horas de estudio y desempeño global</w:t>
      </w:r>
    </w:p>
    <w:p>
      <w:pPr>
        <w:pStyle w:val="ListParagraph"/>
        <w:numPr>
          <w:ilvl w:val="0"/>
          <w:numId w:val="2"/>
        </w:numPr>
        <w:spacing w:before="0" w:after="80"/>
      </w:pPr>
      <w:r>
        <w:rPr>
          <w:rFonts w:ascii="Arial" w:cs="Arial" w:eastAsia="Arial" w:hAnsi="Arial"/>
          <w:color w:val="1A1A1A"/>
          <w:sz w:val="22"/>
          <w:szCs w:val="22"/>
        </w:rPr>
        <w:t xml:space="preserve">H₀: No existe asociación entre Study_Hours_per_Week y Total_Score (ρ = 0).</w:t>
      </w:r>
    </w:p>
    <w:p>
      <w:pPr>
        <w:pStyle w:val="ListParagraph"/>
        <w:numPr>
          <w:ilvl w:val="0"/>
          <w:numId w:val="2"/>
        </w:numPr>
        <w:spacing w:before="0" w:after="80"/>
      </w:pPr>
      <w:r>
        <w:rPr>
          <w:rFonts w:ascii="Arial" w:cs="Arial" w:eastAsia="Arial" w:hAnsi="Arial"/>
          <w:color w:val="1A1A1A"/>
          <w:sz w:val="22"/>
          <w:szCs w:val="22"/>
        </w:rPr>
        <w:t xml:space="preserve">H₁: Existe asociación entre Study_Hours_per_Week y Total_Score (ρ ≠ 0).</w:t>
      </w:r>
    </w:p>
    <w:p>
      <w:pPr>
        <w:spacing w:before="0" w:after="80"/>
      </w:pPr>
    </w:p>
    <w:p>
      <w:pPr>
        <w:spacing w:before="200" w:after="80"/>
      </w:pPr>
      <w:r>
        <w:rPr>
          <w:rFonts w:ascii="Arial" w:cs="Arial" w:eastAsia="Arial" w:hAnsi="Arial"/>
          <w:b/>
          <w:bCs/>
          <w:color w:val="1F4E79"/>
          <w:sz w:val="22"/>
          <w:szCs w:val="22"/>
        </w:rPr>
        <w:t xml:space="preserve">Hipótesis 2 – Nivel de estrés y calificación final</w:t>
      </w:r>
    </w:p>
    <w:p>
      <w:pPr>
        <w:pStyle w:val="ListParagraph"/>
        <w:numPr>
          <w:ilvl w:val="0"/>
          <w:numId w:val="2"/>
        </w:numPr>
        <w:spacing w:before="0" w:after="80"/>
      </w:pPr>
      <w:r>
        <w:rPr>
          <w:rFonts w:ascii="Arial" w:cs="Arial" w:eastAsia="Arial" w:hAnsi="Arial"/>
          <w:color w:val="1A1A1A"/>
          <w:sz w:val="22"/>
          <w:szCs w:val="22"/>
        </w:rPr>
        <w:t xml:space="preserve">H₀: No existe asociación entre Stress_Level (1-10) y Final_Score (ρ = 0).</w:t>
      </w:r>
    </w:p>
    <w:p>
      <w:pPr>
        <w:pStyle w:val="ListParagraph"/>
        <w:numPr>
          <w:ilvl w:val="0"/>
          <w:numId w:val="2"/>
        </w:numPr>
        <w:spacing w:before="0" w:after="80"/>
      </w:pPr>
      <w:r>
        <w:rPr>
          <w:rFonts w:ascii="Arial" w:cs="Arial" w:eastAsia="Arial" w:hAnsi="Arial"/>
          <w:color w:val="1A1A1A"/>
          <w:sz w:val="22"/>
          <w:szCs w:val="22"/>
        </w:rPr>
        <w:t xml:space="preserve">H₁: Existe asociación entre Stress_Level (1-10) y Final_Score (ρ ≠ 0).</w:t>
      </w:r>
    </w:p>
    <w:p>
      <w:pPr>
        <w:spacing w:before="0" w:after="160"/>
      </w:pPr>
    </w:p>
    <w:p>
      <w:pPr>
        <w:pStyle w:val="Heading1"/>
        <w:pBdr>
          <w:bottom w:val="single" w:color="2E75B6" w:sz="6" w:space="4"/>
        </w:pBdr>
        <w:spacing w:before="320" w:after="160"/>
      </w:pPr>
      <w:r>
        <w:rPr>
          <w:rFonts w:ascii="Arial" w:cs="Arial" w:eastAsia="Arial" w:hAnsi="Arial"/>
          <w:b/>
          <w:bCs/>
          <w:color w:val="1F4E79"/>
          <w:sz w:val="28"/>
          <w:szCs w:val="28"/>
        </w:rPr>
        <w:t xml:space="preserve">2. Descripción del Dataset y Limpieza</w:t>
      </w:r>
    </w:p>
    <w:p>
      <w:pPr>
        <w:spacing w:before="0" w:after="120"/>
        <w:jc w:val="both"/>
      </w:pPr>
      <w:r>
        <w:rPr>
          <w:rFonts w:ascii="Arial" w:cs="Arial" w:eastAsia="Arial" w:hAnsi="Arial"/>
          <w:b w:val="false"/>
          <w:bCs w:val="false"/>
          <w:color w:val="1A1A1A"/>
          <w:sz w:val="22"/>
          <w:szCs w:val="22"/>
        </w:rPr>
        <w:t xml:space="preserve">El dataset original contiene 5.000 observaciones y 23 variables, distribuidas en cuatro grupos: identificación del estudiante (ID, nombre, apellido, email), variables demográficas (edad, sexo, nivel educacional de los padres, ingresos familiares), variables académicas (departamento, asistencia, puntajes de exámenes, proyectos, calificación) y variables de hábitos y entorno (horas de estudio, actividades extracurriculares, acceso a internet, nivel de estrés, horas de sueño).</w:t>
      </w:r>
    </w:p>
    <w:p>
      <w:pPr>
        <w:spacing w:before="0" w:after="80"/>
      </w:pPr>
    </w:p>
    <w:p>
      <w:pPr>
        <w:spacing w:before="0" w:after="120"/>
        <w:jc w:val="both"/>
      </w:pPr>
      <w:r>
        <w:rPr>
          <w:rFonts w:ascii="Arial" w:cs="Arial" w:eastAsia="Arial" w:hAnsi="Arial"/>
          <w:b w:val="false"/>
          <w:bCs w:val="false"/>
          <w:color w:val="1A1A1A"/>
          <w:sz w:val="22"/>
          <w:szCs w:val="22"/>
        </w:rPr>
        <w:t xml:space="preserve">Las columnas de identificación personal (nombre, apellido, email) fueron excluidas del análisis estadístico. Se eliminaron todas las filas con al menos un valor faltante (missing), resultando en el siguiente efecto:</w:t>
      </w:r>
    </w:p>
    <w:p>
      <w:pPr>
        <w:spacing w:before="0" w:after="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tblGrid>
      <w:tr>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Métrica</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Porcentaje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Registros originales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5.000</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100%</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Registros eliminados</w:t>
            </w:r>
          </w:p>
        </w:tc>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2.419</w:t>
            </w:r>
          </w:p>
        </w:tc>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48.4%</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Registros para análisis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2.581</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51.6%</w:t>
            </w:r>
          </w:p>
        </w:tc>
      </w:tr>
    </w:tbl>
    <w:p>
      <w:pPr>
        <w:spacing w:before="0" w:after="80"/>
      </w:pPr>
    </w:p>
    <w:p>
      <w:pPr>
        <w:spacing w:before="0" w:after="120"/>
        <w:jc w:val="both"/>
      </w:pPr>
      <w:r>
        <w:rPr>
          <w:rFonts w:ascii="Arial" w:cs="Arial" w:eastAsia="Arial" w:hAnsi="Arial"/>
          <w:b w:val="false"/>
          <w:bCs w:val="false"/>
          <w:color w:val="1A1A1A"/>
          <w:sz w:val="22"/>
          <w:szCs w:val="22"/>
        </w:rPr>
        <w:t xml:space="preserve">Las columnas con mayor cantidad de valores faltantes fueron Assignments_Avg (517 nulos, 10.3%), Attendance (%) (516 nulos, 10.3%) y Parent_Education_Level (1.794 nulos, 35.9%).</w:t>
      </w:r>
    </w:p>
    <w:p>
      <w:pPr>
        <w:spacing w:before="0" w:after="160"/>
      </w:pPr>
    </w:p>
    <w:p>
      <w:pPr>
        <w:pStyle w:val="Heading1"/>
        <w:pBdr>
          <w:bottom w:val="single" w:color="2E75B6" w:sz="6" w:space="4"/>
        </w:pBdr>
        <w:spacing w:before="320" w:after="160"/>
      </w:pPr>
      <w:r>
        <w:rPr>
          <w:rFonts w:ascii="Arial" w:cs="Arial" w:eastAsia="Arial" w:hAnsi="Arial"/>
          <w:b/>
          <w:bCs/>
          <w:color w:val="1F4E79"/>
          <w:sz w:val="28"/>
          <w:szCs w:val="28"/>
        </w:rPr>
        <w:t xml:space="preserve">3. Análisis Estadístico Descriptivo</w:t>
      </w:r>
    </w:p>
    <w:p>
      <w:pPr>
        <w:spacing w:before="0" w:after="120"/>
        <w:jc w:val="both"/>
      </w:pPr>
      <w:r>
        <w:rPr>
          <w:rFonts w:ascii="Arial" w:cs="Arial" w:eastAsia="Arial" w:hAnsi="Arial"/>
          <w:b w:val="false"/>
          <w:bCs w:val="false"/>
          <w:color w:val="1A1A1A"/>
          <w:sz w:val="22"/>
          <w:szCs w:val="22"/>
        </w:rPr>
        <w:t xml:space="preserve">A continuación se presentan los estadísticos descriptivos de las principales variables numéricas calculados sobre los 2.581 registros completos.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900"/>
        <w:gridCol w:w="900"/>
        <w:gridCol w:w="900"/>
        <w:gridCol w:w="900"/>
        <w:gridCol w:w="900"/>
        <w:gridCol w:w="960"/>
      </w:tblGrid>
      <w:tr>
        <w:tc>
          <w:tcPr>
            <w:tcW w:type="dxa" w:w="2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Media</w:t>
            </w:r>
          </w:p>
        </w:tc>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Desv.Est.</w:t>
            </w:r>
          </w:p>
        </w:tc>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Mín.</w:t>
            </w:r>
          </w:p>
        </w:tc>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Q1</w:t>
            </w:r>
          </w:p>
        </w:tc>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Mediana</w:t>
            </w:r>
          </w:p>
        </w:tc>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Q3</w:t>
            </w:r>
          </w:p>
        </w:tc>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Máx.</w:t>
            </w:r>
          </w:p>
        </w:tc>
        <w:tc>
          <w:tcPr>
            <w:tcW w:type="dxa" w:w="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Asimetría</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Edad</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21.05</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2.00</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18</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19</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21</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23</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24</w:t>
            </w:r>
          </w:p>
        </w:tc>
        <w:tc>
          <w:tcPr>
            <w:tcW w:type="dxa" w:w="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-0.05</w:t>
            </w:r>
          </w:p>
        </w:tc>
      </w:tr>
      <w:tr>
        <w:tc>
          <w:tcPr>
            <w:tcW w:type="dxa" w:w="21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Asistencia (%)</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75.38</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14.31</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50.01</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63.03</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75.71</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87.24</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100.00</w:t>
            </w:r>
          </w:p>
        </w:tc>
        <w:tc>
          <w:tcPr>
            <w:tcW w:type="dxa" w:w="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-0.03</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Puntaje Parcial</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70.08</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17.03</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40.01</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55.61</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69.88</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84.39</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99.97</w:t>
            </w:r>
          </w:p>
        </w:tc>
        <w:tc>
          <w:tcPr>
            <w:tcW w:type="dxa" w:w="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0.00</w:t>
            </w:r>
          </w:p>
        </w:tc>
      </w:tr>
      <w:tr>
        <w:tc>
          <w:tcPr>
            <w:tcW w:type="dxa" w:w="21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Puntaje Final</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69.54</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17.09</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40.00</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54.78</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69.74</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84.02</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99.98</w:t>
            </w:r>
          </w:p>
        </w:tc>
        <w:tc>
          <w:tcPr>
            <w:tcW w:type="dxa" w:w="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0.00</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Prom. Tareas</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75.18</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14.42</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50.00</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62.50</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75.12</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87.60</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99.98</w:t>
            </w:r>
          </w:p>
        </w:tc>
        <w:tc>
          <w:tcPr>
            <w:tcW w:type="dxa" w:w="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0.00</w:t>
            </w:r>
          </w:p>
        </w:tc>
      </w:tr>
      <w:tr>
        <w:tc>
          <w:tcPr>
            <w:tcW w:type="dxa" w:w="21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Prom. Quizzes</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74.83</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14.57</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50.03</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62.37</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74.46</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87.66</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99.95</w:t>
            </w:r>
          </w:p>
        </w:tc>
        <w:tc>
          <w:tcPr>
            <w:tcW w:type="dxa" w:w="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0.02</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Participación</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4.99</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2.88</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0.00</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2.50</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5.00</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7.53</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10.00</w:t>
            </w:r>
          </w:p>
        </w:tc>
        <w:tc>
          <w:tcPr>
            <w:tcW w:type="dxa" w:w="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0.00</w:t>
            </w:r>
          </w:p>
        </w:tc>
      </w:tr>
      <w:tr>
        <w:tc>
          <w:tcPr>
            <w:tcW w:type="dxa" w:w="21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Puntaje Proyectos</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74.84</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14.47</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50.01</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62.06</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74.92</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87.29</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100.00</w:t>
            </w:r>
          </w:p>
        </w:tc>
        <w:tc>
          <w:tcPr>
            <w:tcW w:type="dxa" w:w="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0.00</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Puntaje Total</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75.00</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14.33</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50.03</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63.12</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75.13</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87.44</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99.99</w:t>
            </w:r>
          </w:p>
        </w:tc>
        <w:tc>
          <w:tcPr>
            <w:tcW w:type="dxa" w:w="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-0.02</w:t>
            </w:r>
          </w:p>
        </w:tc>
      </w:tr>
      <w:tr>
        <w:tc>
          <w:tcPr>
            <w:tcW w:type="dxa" w:w="21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Horas Estudio/Sem.</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17.62</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7.28</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5.00</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11.40</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17.30</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24.10</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29.90</w:t>
            </w:r>
          </w:p>
        </w:tc>
        <w:tc>
          <w:tcPr>
            <w:tcW w:type="dxa" w:w="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0.01</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Nivel de Estrés</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5.45</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2.85</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8</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10</w:t>
            </w:r>
          </w:p>
        </w:tc>
        <w:tc>
          <w:tcPr>
            <w:tcW w:type="dxa" w:w="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0.04</w:t>
            </w:r>
          </w:p>
        </w:tc>
      </w:tr>
      <w:tr>
        <w:tc>
          <w:tcPr>
            <w:tcW w:type="dxa" w:w="21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Horas de Sueño</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6.48</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1.46</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4.00</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5.20</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6.50</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7.70</w:t>
            </w:r>
          </w:p>
        </w:tc>
        <w:tc>
          <w:tcPr>
            <w:tcW w:type="dxa" w:w="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9.00</w:t>
            </w:r>
          </w:p>
        </w:tc>
        <w:tc>
          <w:tcPr>
            <w:tcW w:type="dxa" w:w="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0.02</w:t>
            </w:r>
          </w:p>
        </w:tc>
      </w:tr>
    </w:tbl>
    <w:p>
      <w:pPr>
        <w:spacing w:before="0" w:after="80"/>
      </w:pPr>
    </w:p>
    <w:p>
      <w:pPr>
        <w:pStyle w:val="Heading2"/>
        <w:spacing w:before="240" w:after="120"/>
      </w:pPr>
      <w:r>
        <w:rPr>
          <w:rFonts w:ascii="Arial" w:cs="Arial" w:eastAsia="Arial" w:hAnsi="Arial"/>
          <w:b/>
          <w:bCs/>
          <w:color w:val="2E75B6"/>
          <w:sz w:val="24"/>
          <w:szCs w:val="24"/>
        </w:rPr>
        <w:t xml:space="preserve">3.1 Observaciones descriptivas principales</w:t>
      </w:r>
    </w:p>
    <w:p>
      <w:pPr>
        <w:pStyle w:val="ListParagraph"/>
        <w:numPr>
          <w:ilvl w:val="0"/>
          <w:numId w:val="2"/>
        </w:numPr>
        <w:spacing w:before="0" w:after="80"/>
      </w:pPr>
      <w:r>
        <w:rPr>
          <w:rFonts w:ascii="Arial" w:cs="Arial" w:eastAsia="Arial" w:hAnsi="Arial"/>
          <w:color w:val="1A1A1A"/>
          <w:sz w:val="22"/>
          <w:szCs w:val="22"/>
        </w:rPr>
        <w:t xml:space="preserve">Los puntajes académicos (parcial, final, tareas, proyectos) presentan una distribución prácticamente simétrica (asimetría ≈ 0), con medias cercanas a 70-75 puntos.</w:t>
      </w:r>
    </w:p>
    <w:p>
      <w:pPr>
        <w:pStyle w:val="ListParagraph"/>
        <w:numPr>
          <w:ilvl w:val="0"/>
          <w:numId w:val="2"/>
        </w:numPr>
        <w:spacing w:before="0" w:after="80"/>
      </w:pPr>
      <w:r>
        <w:rPr>
          <w:rFonts w:ascii="Arial" w:cs="Arial" w:eastAsia="Arial" w:hAnsi="Arial"/>
          <w:color w:val="1A1A1A"/>
          <w:sz w:val="22"/>
          <w:szCs w:val="22"/>
        </w:rPr>
        <w:t xml:space="preserve">Las horas de estudio semanales tienen una media de 17.6 h/sem con desviación estándar de 7.3 h, lo que indica una dispersión considerable entre estudiantes.</w:t>
      </w:r>
    </w:p>
    <w:p>
      <w:pPr>
        <w:pStyle w:val="ListParagraph"/>
        <w:numPr>
          <w:ilvl w:val="0"/>
          <w:numId w:val="2"/>
        </w:numPr>
        <w:spacing w:before="0" w:after="80"/>
      </w:pPr>
      <w:r>
        <w:rPr>
          <w:rFonts w:ascii="Arial" w:cs="Arial" w:eastAsia="Arial" w:hAnsi="Arial"/>
          <w:color w:val="1A1A1A"/>
          <w:sz w:val="22"/>
          <w:szCs w:val="22"/>
        </w:rPr>
        <w:t xml:space="preserve">El nivel de estrés tiene una distribución casi uniforme entre 1 y 10, con media 5.45 y mediana 5, sugiriendo ausencia de sesgo.</w:t>
      </w:r>
    </w:p>
    <w:p>
      <w:pPr>
        <w:pStyle w:val="ListParagraph"/>
        <w:numPr>
          <w:ilvl w:val="0"/>
          <w:numId w:val="2"/>
        </w:numPr>
        <w:spacing w:before="0" w:after="80"/>
      </w:pPr>
      <w:r>
        <w:rPr>
          <w:rFonts w:ascii="Arial" w:cs="Arial" w:eastAsia="Arial" w:hAnsi="Arial"/>
          <w:color w:val="1A1A1A"/>
          <w:sz w:val="22"/>
          <w:szCs w:val="22"/>
        </w:rPr>
        <w:t xml:space="preserve">La asistencia promedia un 75.4% con alta variabilidad (DE = 14.3%), con estudiantes que van desde 50% hasta 100%.</w:t>
      </w:r>
    </w:p>
    <w:p>
      <w:pPr>
        <w:spacing w:before="0" w:after="160"/>
      </w:pPr>
    </w:p>
    <w:p>
      <w:pPr>
        <w:pStyle w:val="Heading1"/>
        <w:pBdr>
          <w:bottom w:val="single" w:color="2E75B6" w:sz="6" w:space="4"/>
        </w:pBdr>
        <w:spacing w:before="320" w:after="160"/>
      </w:pPr>
      <w:r>
        <w:rPr>
          <w:rFonts w:ascii="Arial" w:cs="Arial" w:eastAsia="Arial" w:hAnsi="Arial"/>
          <w:b/>
          <w:bCs/>
          <w:color w:val="1F4E79"/>
          <w:sz w:val="28"/>
          <w:szCs w:val="28"/>
        </w:rPr>
        <w:t xml:space="preserve">4. Análisis de Correlación</w:t>
      </w:r>
    </w:p>
    <w:p>
      <w:pPr>
        <w:spacing w:before="0" w:after="120"/>
        <w:jc w:val="both"/>
      </w:pPr>
      <w:r>
        <w:rPr>
          <w:rFonts w:ascii="Arial" w:cs="Arial" w:eastAsia="Arial" w:hAnsi="Arial"/>
          <w:b w:val="false"/>
          <w:bCs w:val="false"/>
          <w:color w:val="1A1A1A"/>
          <w:sz w:val="22"/>
          <w:szCs w:val="22"/>
        </w:rPr>
        <w:t xml:space="preserve">Se calculó la matriz de correlación de Pearson entre todas las variables numéricas. El hallazgo más relevante es que ningún par de variables supera un coeficiente de correlación en valor absoluto de 0.06, lo cual es inusualmente bajo para datos académicos reales.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80"/>
        <w:gridCol w:w="1580"/>
      </w:tblGrid>
      <w:t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 de variables</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Pearson r</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Spearman ρ</w:t>
            </w:r>
          </w:p>
        </w:tc>
        <w:tc>
          <w:tcPr>
            <w:tcW w:type="dxa" w:w="15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Interpretación</w:t>
            </w:r>
          </w:p>
        </w:tc>
        <w:tc>
          <w:tcPr>
            <w:tcW w:type="dxa" w:w="15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Magnitud</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Study_Hours vs Total_Score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-0.0065</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-0.0056</w:t>
            </w:r>
          </w:p>
        </w:tc>
        <w:tc>
          <w:tcPr>
            <w:tcW w:type="dxa" w:w="1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Prácticamente nula</w:t>
            </w:r>
          </w:p>
        </w:tc>
        <w:tc>
          <w:tcPr>
            <w:tcW w:type="dxa" w:w="1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66666"/>
                <w:sz w:val="20"/>
                <w:szCs w:val="20"/>
              </w:rPr>
              <w:t xml:space="preserve">Negligible</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Stress_Level vs Final_Score</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-0.0213</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-0.0202</w:t>
            </w:r>
          </w:p>
        </w:tc>
        <w:tc>
          <w:tcPr>
            <w:tcW w:type="dxa" w:w="15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Negativa muy débil</w:t>
            </w:r>
          </w:p>
        </w:tc>
        <w:tc>
          <w:tcPr>
            <w:tcW w:type="dxa" w:w="15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666666"/>
                <w:sz w:val="20"/>
                <w:szCs w:val="20"/>
              </w:rPr>
              <w:t xml:space="preserve">Negligible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Study_Hours vs Final_Score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-0.0145</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-0.0151</w:t>
            </w:r>
          </w:p>
        </w:tc>
        <w:tc>
          <w:tcPr>
            <w:tcW w:type="dxa" w:w="1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Prácticamente nula</w:t>
            </w:r>
          </w:p>
        </w:tc>
        <w:tc>
          <w:tcPr>
            <w:tcW w:type="dxa" w:w="1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66666"/>
                <w:sz w:val="20"/>
                <w:szCs w:val="20"/>
              </w:rPr>
              <w:t xml:space="preserve">Negligible</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Stress_Level vs Total_Score</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-0.0109</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-0.0098</w:t>
            </w:r>
          </w:p>
        </w:tc>
        <w:tc>
          <w:tcPr>
            <w:tcW w:type="dxa" w:w="15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Prácticamente nula</w:t>
            </w:r>
          </w:p>
        </w:tc>
        <w:tc>
          <w:tcPr>
            <w:tcW w:type="dxa" w:w="15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666666"/>
                <w:sz w:val="20"/>
                <w:szCs w:val="20"/>
              </w:rPr>
              <w:t xml:space="preserve">Negligible</w:t>
            </w:r>
          </w:p>
        </w:tc>
      </w:tr>
    </w:tbl>
    <w:p>
      <w:pPr>
        <w:spacing w:before="0" w:after="80"/>
      </w:pPr>
    </w:p>
    <w:p>
      <w:pPr>
        <w:spacing w:before="0" w:after="120"/>
        <w:jc w:val="both"/>
      </w:pPr>
      <w:r>
        <w:rPr>
          <w:rFonts w:ascii="Arial" w:cs="Arial" w:eastAsia="Arial" w:hAnsi="Arial"/>
          <w:b w:val="false"/>
          <w:bCs w:val="false"/>
          <w:color w:val="1A1A1A"/>
          <w:sz w:val="22"/>
          <w:szCs w:val="22"/>
        </w:rPr>
        <w:t xml:space="preserve">La ausencia de correlaciones significativas se extiende a todas las variables del dataset. Incluso relaciones que deberían ser altas en datos reales (por ejemplo, puntaje parcial con puntaje final, o tareas con puntaje total) presentan coeficientes próximos a cero. Este patrón es un indicador importante sobre la naturaleza del dataset, que se discute en la Sección 6.</w:t>
      </w:r>
    </w:p>
    <w:p>
      <w:pPr>
        <w:spacing w:before="0" w:after="160"/>
      </w:pPr>
    </w:p>
    <w:p>
      <w:pPr>
        <w:pStyle w:val="Heading1"/>
        <w:pBdr>
          <w:bottom w:val="single" w:color="2E75B6" w:sz="6" w:space="4"/>
        </w:pBdr>
        <w:spacing w:before="320" w:after="160"/>
      </w:pPr>
      <w:r>
        <w:rPr>
          <w:rFonts w:ascii="Arial" w:cs="Arial" w:eastAsia="Arial" w:hAnsi="Arial"/>
          <w:b/>
          <w:bCs/>
          <w:color w:val="1F4E79"/>
          <w:sz w:val="28"/>
          <w:szCs w:val="28"/>
        </w:rPr>
        <w:t xml:space="preserve">5. Pruebas de Hipótesis</w:t>
      </w:r>
    </w:p>
    <w:p>
      <w:pPr>
        <w:pStyle w:val="Heading2"/>
        <w:spacing w:before="240" w:after="120"/>
      </w:pPr>
      <w:r>
        <w:rPr>
          <w:rFonts w:ascii="Arial" w:cs="Arial" w:eastAsia="Arial" w:hAnsi="Arial"/>
          <w:b/>
          <w:bCs/>
          <w:color w:val="2E75B6"/>
          <w:sz w:val="24"/>
          <w:szCs w:val="24"/>
        </w:rPr>
        <w:t xml:space="preserve">5.1 Justificación metodológica</w:t>
      </w:r>
    </w:p>
    <w:p>
      <w:pPr>
        <w:spacing w:before="0" w:after="120"/>
        <w:jc w:val="both"/>
      </w:pPr>
      <w:r>
        <w:rPr>
          <w:rFonts w:ascii="Arial" w:cs="Arial" w:eastAsia="Arial" w:hAnsi="Arial"/>
          <w:b w:val="false"/>
          <w:bCs w:val="false"/>
          <w:color w:val="1A1A1A"/>
          <w:sz w:val="22"/>
          <w:szCs w:val="22"/>
        </w:rPr>
        <w:t xml:space="preserve">Para cada hipótesis se seleccionaron las pruebas estadísticas más apropiadas según las características de las variables: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Prueba</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3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Aplicación en este estudio</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Pearson r</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Correlación lineal entre variables continuas. Asume normalidad.</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Variables continuas: Study_Hours vs Total_Score.</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Spearman ρ</w:t>
            </w:r>
          </w:p>
        </w:tc>
        <w:tc>
          <w:tcPr>
            <w:tcW w:type="dxa" w:w="4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Correlación monótona no paramétrica. Apropiada para ordinales.</w:t>
            </w:r>
          </w:p>
        </w:tc>
        <w:tc>
          <w:tcPr>
            <w:tcW w:type="dxa" w:w="3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Variable ordinal: Stress_Level (escala 1-10). Prueba principal para H₂.</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Kruskal-Wallis</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Compara medianas entre 3+ grupos sin asumir normalidad.</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Ambas hipótesis: compara puntajes entre grupos de estudio/estrés.</w:t>
            </w:r>
          </w:p>
        </w:tc>
      </w:tr>
    </w:tbl>
    <w:p>
      <w:pPr>
        <w:spacing w:before="0" w:after="80"/>
      </w:pPr>
    </w:p>
    <w:p>
      <w:pPr>
        <w:spacing w:before="0" w:after="120"/>
        <w:jc w:val="both"/>
      </w:pPr>
      <w:r>
        <w:rPr>
          <w:rFonts w:ascii="Arial" w:cs="Arial" w:eastAsia="Arial" w:hAnsi="Arial"/>
          <w:b w:val="false"/>
          <w:bCs w:val="false"/>
          <w:color w:val="1A1A1A"/>
          <w:sz w:val="22"/>
          <w:szCs w:val="22"/>
        </w:rPr>
        <w:t xml:space="preserve">Nivel de significancia utilizado: α = 0.05.</w:t>
      </w:r>
    </w:p>
    <w:p>
      <w:pPr>
        <w:spacing w:before="0" w:after="120"/>
      </w:pPr>
    </w:p>
    <w:p>
      <w:pPr>
        <w:pStyle w:val="Heading2"/>
        <w:spacing w:before="240" w:after="120"/>
      </w:pPr>
      <w:r>
        <w:rPr>
          <w:rFonts w:ascii="Arial" w:cs="Arial" w:eastAsia="Arial" w:hAnsi="Arial"/>
          <w:b/>
          <w:bCs/>
          <w:color w:val="2E75B6"/>
          <w:sz w:val="24"/>
          <w:szCs w:val="24"/>
        </w:rPr>
        <w:t xml:space="preserve">5.2 Hipótesis 1: Horas de estudio vs desempeño global</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color="FFFFFF" w:sz="0"/>
            </w:tcBorders>
            <w:shd w:fill="D6E4F0" w:val="clear"/>
            <w:tcMar>
              <w:top w:type="dxa" w:w="120"/>
              <w:left w:type="dxa" w:w="200"/>
              <w:bottom w:type="dxa" w:w="120"/>
              <w:right w:type="dxa" w:w="200"/>
            </w:tcMar>
          </w:tcPr>
          <w:p>
            <w:pPr>
              <w:jc w:val="both"/>
            </w:pPr>
            <w:r>
              <w:rPr>
                <w:rFonts w:ascii="Arial" w:cs="Arial" w:eastAsia="Arial" w:hAnsi="Arial"/>
                <w:color w:val="1F4E79"/>
                <w:sz w:val="21"/>
                <w:szCs w:val="21"/>
              </w:rPr>
              <w:t xml:space="preserve">H₀: No existe asociación entre las horas de estudio semanales y el puntaje total (ρ = 0).</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Prueba</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Estadístico</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 p</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α</w:t>
            </w:r>
          </w:p>
        </w:tc>
        <w:tc>
          <w:tcPr>
            <w:tcW w:type="dxa" w:w="1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Decisión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Pearson 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r = -0.0065</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 = 0.7403</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0.05</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 rechazar H₀</w:t>
            </w:r>
          </w:p>
        </w:tc>
      </w:tr>
      <w:tr>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Spearman ρ</w:t>
            </w:r>
          </w:p>
        </w:tc>
        <w:tc>
          <w:tcPr>
            <w:tcW w:type="dxa" w:w="1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ρ = -0.0056</w:t>
            </w:r>
          </w:p>
        </w:tc>
        <w:tc>
          <w:tcPr>
            <w:tcW w:type="dxa" w:w="1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 = 0.7756</w:t>
            </w:r>
          </w:p>
        </w:tc>
        <w:tc>
          <w:tcPr>
            <w:tcW w:type="dxa" w:w="1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0.05</w:t>
            </w:r>
          </w:p>
        </w:tc>
        <w:tc>
          <w:tcPr>
            <w:tcW w:type="dxa" w:w="17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 rechazar H₀</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Kruskal-Wallis (cuartiles)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H = 0.5408</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 = 0.9098</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0.05</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 rechazar H₀</w:t>
            </w:r>
          </w:p>
        </w:tc>
      </w:tr>
    </w:tbl>
    <w:p>
      <w:pPr>
        <w:spacing w:before="0" w:after="80"/>
      </w:pPr>
    </w:p>
    <w:p>
      <w:pPr>
        <w:spacing w:before="0" w:after="120"/>
        <w:jc w:val="both"/>
      </w:pPr>
      <w:r>
        <w:rPr>
          <w:rFonts w:ascii="Arial" w:cs="Arial" w:eastAsia="Arial" w:hAnsi="Arial"/>
          <w:b w:val="false"/>
          <w:bCs w:val="false"/>
          <w:color w:val="1A1A1A"/>
          <w:sz w:val="22"/>
          <w:szCs w:val="22"/>
        </w:rPr>
        <w:t xml:space="preserve">Con α = 0.05, los tres tests convergen en el mismo resultado: los p-valores (0.740, 0.776 y 0.910) son muy superiores al nivel de significancia. No existe evidencia estadística que permita afirmar una asociación entre las horas de estudio semanales y el puntaje total en este dataset.</w:t>
      </w:r>
    </w:p>
    <w:p>
      <w:pPr>
        <w:spacing w:before="0" w:after="120"/>
      </w:pPr>
    </w:p>
    <w:p>
      <w:pPr>
        <w:pStyle w:val="Heading2"/>
        <w:spacing w:before="240" w:after="120"/>
      </w:pPr>
      <w:r>
        <w:rPr>
          <w:rFonts w:ascii="Arial" w:cs="Arial" w:eastAsia="Arial" w:hAnsi="Arial"/>
          <w:b/>
          <w:bCs/>
          <w:color w:val="2E75B6"/>
          <w:sz w:val="24"/>
          <w:szCs w:val="24"/>
        </w:rPr>
        <w:t xml:space="preserve">5.3 Hipótesis 2: Nivel de estrés vs calificación final</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color="FFFFFF" w:sz="0"/>
            </w:tcBorders>
            <w:shd w:fill="D6E4F0" w:val="clear"/>
            <w:tcMar>
              <w:top w:type="dxa" w:w="120"/>
              <w:left w:type="dxa" w:w="200"/>
              <w:bottom w:type="dxa" w:w="120"/>
              <w:right w:type="dxa" w:w="200"/>
            </w:tcMar>
          </w:tcPr>
          <w:p>
            <w:pPr>
              <w:jc w:val="both"/>
            </w:pPr>
            <w:r>
              <w:rPr>
                <w:rFonts w:ascii="Arial" w:cs="Arial" w:eastAsia="Arial" w:hAnsi="Arial"/>
                <w:color w:val="1F4E79"/>
                <w:sz w:val="21"/>
                <w:szCs w:val="21"/>
              </w:rPr>
              <w:t xml:space="preserve">H₀: No existe asociación entre el nivel de estrés y la calificación final (ρ = 0).</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Prueba</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Estadístico</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 p</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α</w:t>
            </w:r>
          </w:p>
        </w:tc>
        <w:tc>
          <w:tcPr>
            <w:tcW w:type="dxa" w:w="1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Decisión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Pearson 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r = -0.0213</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 = 0.2801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0.05</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 rechazar H₀</w:t>
            </w:r>
          </w:p>
        </w:tc>
      </w:tr>
      <w:tr>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Spearman ρ (principal)</w:t>
            </w:r>
          </w:p>
        </w:tc>
        <w:tc>
          <w:tcPr>
            <w:tcW w:type="dxa" w:w="1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ρ = -0.0202</w:t>
            </w:r>
          </w:p>
        </w:tc>
        <w:tc>
          <w:tcPr>
            <w:tcW w:type="dxa" w:w="1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 = 0.3058</w:t>
            </w:r>
          </w:p>
        </w:tc>
        <w:tc>
          <w:tcPr>
            <w:tcW w:type="dxa" w:w="1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0.05</w:t>
            </w:r>
          </w:p>
        </w:tc>
        <w:tc>
          <w:tcPr>
            <w:tcW w:type="dxa" w:w="17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 rechazar H₀</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Kruskal-Wallis (3 grupos)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H = 0.2057</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 = 0.9023</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0.05</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 rechazar H₀</w:t>
            </w:r>
          </w:p>
        </w:tc>
      </w:tr>
    </w:tbl>
    <w:p>
      <w:pPr>
        <w:spacing w:before="0" w:after="80"/>
      </w:pPr>
    </w:p>
    <w:p>
      <w:pPr>
        <w:spacing w:before="0" w:after="120"/>
        <w:jc w:val="both"/>
      </w:pPr>
      <w:r>
        <w:rPr>
          <w:rFonts w:ascii="Arial" w:cs="Arial" w:eastAsia="Arial" w:hAnsi="Arial"/>
          <w:b w:val="false"/>
          <w:bCs w:val="false"/>
          <w:color w:val="1A1A1A"/>
          <w:sz w:val="22"/>
          <w:szCs w:val="22"/>
        </w:rPr>
        <w:t xml:space="preserve">Se utilizó Spearman como prueba principal dado que Stress_Level (1-10) es una variable ordinal discreta (escala Likert), para la cual la correlación de Spearman es metodológicamente más apropiada que Pearson. Los p-valores obtenidos (0.280, 0.306 y 0.902) son todos superiores a α = 0.05. Aunque el coeficiente es levemente negativo (mayor estrés podría asociarse a menor puntaje), su magnitud es estadísticamente insignificante.</w:t>
      </w:r>
    </w:p>
    <w:p>
      <w:pPr>
        <w:spacing w:before="0" w:after="160"/>
      </w:pPr>
    </w:p>
    <w:p>
      <w:pPr>
        <w:pStyle w:val="Heading1"/>
        <w:pBdr>
          <w:bottom w:val="single" w:color="2E75B6" w:sz="6" w:space="4"/>
        </w:pBdr>
        <w:spacing w:before="320" w:after="160"/>
      </w:pPr>
      <w:r>
        <w:rPr>
          <w:rFonts w:ascii="Arial" w:cs="Arial" w:eastAsia="Arial" w:hAnsi="Arial"/>
          <w:b/>
          <w:bCs/>
          <w:color w:val="1F4E79"/>
          <w:sz w:val="28"/>
          <w:szCs w:val="28"/>
        </w:rPr>
        <w:t xml:space="preserve">6. Análisis de la Integridad del Dataset</w:t>
      </w:r>
    </w:p>
    <w:p>
      <w:pPr>
        <w:spacing w:before="0" w:after="120"/>
        <w:jc w:val="both"/>
      </w:pPr>
      <w:r>
        <w:rPr>
          <w:rFonts w:ascii="Arial" w:cs="Arial" w:eastAsia="Arial" w:hAnsi="Arial"/>
          <w:b w:val="false"/>
          <w:bCs w:val="false"/>
          <w:color w:val="1A1A1A"/>
          <w:sz w:val="22"/>
          <w:szCs w:val="22"/>
        </w:rPr>
        <w:t xml:space="preserve">Los resultados obtenidos motivaron una revisión crítica del dataset. En un conjunto de datos académicos real se esperaría que la variable Grade (A, B, C, D, F) presentara una relación monotónica decreciente con el puntaje total: los estudiantes con A deberían tener puntajes superiores a los de B, y así sucesivamente.</w:t>
      </w:r>
    </w:p>
    <w:p>
      <w:pPr>
        <w:spacing w:before="0" w:after="8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tblGrid>
      <w:t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Total_Score Promedio</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Orden esperado</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(Sobresaliente)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74.44</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(más bajo que C, D)</w:t>
            </w:r>
          </w:p>
        </w:tc>
      </w:tr>
      <w:tr>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 (Notable)</w:t>
            </w:r>
          </w:p>
        </w:tc>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74.96</w:t>
            </w:r>
          </w:p>
        </w:tc>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 (Aprobado)</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75.59</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w:t>
            </w:r>
          </w:p>
        </w:tc>
      </w:tr>
      <w:tr>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 (Suficiente)</w:t>
            </w:r>
          </w:p>
        </w:tc>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75.90</w:t>
            </w:r>
          </w:p>
        </w:tc>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(más alto que A, B, C)</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 (Reprobado)</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74.48</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w:t>
            </w:r>
          </w:p>
        </w:tc>
      </w:tr>
    </w:tbl>
    <w:p>
      <w:pPr>
        <w:spacing w:before="0" w:after="80"/>
      </w:pPr>
    </w:p>
    <w:p>
      <w:pPr>
        <w:spacing w:before="0" w:after="120"/>
        <w:jc w:val="both"/>
      </w:pPr>
      <w:r>
        <w:rPr>
          <w:rFonts w:ascii="Arial" w:cs="Arial" w:eastAsia="Arial" w:hAnsi="Arial"/>
          <w:b w:val="false"/>
          <w:bCs w:val="false"/>
          <w:color w:val="1A1A1A"/>
          <w:sz w:val="22"/>
          <w:szCs w:val="22"/>
        </w:rPr>
        <w:t xml:space="preserve">Un estudiante con calificación D tiene en promedio un Total_Score de 75.90, superior al de un estudiante con A (74.44). Esta inversión es estadísticamente imposible si el puntaje y la nota fueran variables relacionadas. Adicionalmente, la correlación máxima en valor absoluto entre cualquier par de variables numéricas del dataset es de apenas 0.06, cuando en datos académicos reales se esperarían correlaciones de 0.30 a 0.70 entre variables como puntaje parcial, puntaje final y nota final.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color="FFFFFF" w:sz="0"/>
            </w:tcBorders>
            <w:shd w:fill="D6E4F0" w:val="clear"/>
            <w:tcMar>
              <w:top w:type="dxa" w:w="120"/>
              <w:left w:type="dxa" w:w="200"/>
              <w:bottom w:type="dxa" w:w="120"/>
              <w:right w:type="dxa" w:w="200"/>
            </w:tcMar>
          </w:tcPr>
          <w:p>
            <w:pPr>
              <w:jc w:val="both"/>
            </w:pPr>
            <w:r>
              <w:rPr>
                <w:rFonts w:ascii="Arial" w:cs="Arial" w:eastAsia="Arial" w:hAnsi="Arial"/>
                <w:color w:val="1F4E79"/>
                <w:sz w:val="21"/>
                <w:szCs w:val="21"/>
              </w:rPr>
              <w:t xml:space="preserve">Conclusión: Las variables del dataset fueron generadas de forma independiente y aleatoria (dataset sintético). Los resultados estadísticos obtenidos son correctos y coherentes con esta naturaleza — la ausencia de significancia estadística es el resultado esperado para datos sin relación real entre sí.</w:t>
            </w:r>
          </w:p>
        </w:tc>
      </w:tr>
    </w:tbl>
    <w:p>
      <w:pPr>
        <w:spacing w:before="0" w:after="160"/>
      </w:pP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7. Conclusiones</w:t>
      </w:r>
    </w:p>
    <w:p>
      <w:pPr>
        <w:pStyle w:val="Heading2"/>
        <w:spacing w:before="240" w:after="120"/>
      </w:pPr>
      <w:r>
        <w:rPr>
          <w:rFonts w:ascii="Arial" w:cs="Arial" w:eastAsia="Arial" w:hAnsi="Arial"/>
          <w:b/>
          <w:bCs/>
          <w:color w:val="2E75B6"/>
          <w:sz w:val="24"/>
          <w:szCs w:val="24"/>
        </w:rPr>
        <w:t xml:space="preserve">7.1 Respuesta a las preguntas de investigación</w:t>
      </w:r>
    </w:p>
    <w:p>
      <w:pPr>
        <w:spacing w:before="200" w:after="80"/>
      </w:pPr>
      <w:r>
        <w:rPr>
          <w:rFonts w:ascii="Arial" w:cs="Arial" w:eastAsia="Arial" w:hAnsi="Arial"/>
          <w:b/>
          <w:bCs/>
          <w:color w:val="1F4E79"/>
          <w:sz w:val="22"/>
          <w:szCs w:val="22"/>
        </w:rPr>
        <w:t xml:space="preserve">Pregunta 1: ¿Las horas de estudio mejoran el desempeño académico?</w:t>
      </w:r>
    </w:p>
    <w:p>
      <w:pPr>
        <w:spacing w:before="0" w:after="120"/>
        <w:jc w:val="both"/>
      </w:pPr>
      <w:r>
        <w:rPr>
          <w:rFonts w:ascii="Arial" w:cs="Arial" w:eastAsia="Arial" w:hAnsi="Arial"/>
          <w:b w:val="false"/>
          <w:bCs w:val="false"/>
          <w:color w:val="1A1A1A"/>
          <w:sz w:val="22"/>
          <w:szCs w:val="22"/>
        </w:rPr>
        <w:t xml:space="preserve">Con los datos analizados no existe evidencia estadísticamente significativa de que dedicar más horas de estudio semanal mejore el desempeño académico global. Los tres tests aplicados (Pearson, Spearman y Kruskal-Wallis) entregan p-valores entre 0.740 y 0.910, muy superiores a α = 0.05. No se rechaza H₀.</w:t>
      </w:r>
    </w:p>
    <w:p>
      <w:pPr>
        <w:spacing w:before="0" w:after="80"/>
      </w:pPr>
    </w:p>
    <w:p>
      <w:pPr>
        <w:spacing w:before="200" w:after="80"/>
      </w:pPr>
      <w:r>
        <w:rPr>
          <w:rFonts w:ascii="Arial" w:cs="Arial" w:eastAsia="Arial" w:hAnsi="Arial"/>
          <w:b/>
          <w:bCs/>
          <w:color w:val="1F4E79"/>
          <w:sz w:val="22"/>
          <w:szCs w:val="22"/>
        </w:rPr>
        <w:t xml:space="preserve">Pregunta 2: ¿El nivel de estrés afecta las calificaciones finales?</w:t>
      </w:r>
    </w:p>
    <w:p>
      <w:pPr>
        <w:spacing w:before="0" w:after="120"/>
        <w:jc w:val="both"/>
      </w:pPr>
      <w:r>
        <w:rPr>
          <w:rFonts w:ascii="Arial" w:cs="Arial" w:eastAsia="Arial" w:hAnsi="Arial"/>
          <w:b w:val="false"/>
          <w:bCs w:val="false"/>
          <w:color w:val="1A1A1A"/>
          <w:sz w:val="22"/>
          <w:szCs w:val="22"/>
        </w:rPr>
        <w:t xml:space="preserve">Con los datos analizados no existe evidencia estadísticamente significativa de que el nivel de estrés afecte las calificaciones finales. Aunque el coeficiente de Spearman es levemente negativo (ρ = -0.020), el p-valor de 0.306 no permite rechazar H₀. No se rechaza H₀.</w:t>
      </w:r>
    </w:p>
    <w:p>
      <w:pPr>
        <w:spacing w:before="0" w:after="80"/>
      </w:pPr>
    </w:p>
    <w:p>
      <w:pPr>
        <w:pStyle w:val="Heading2"/>
        <w:spacing w:before="240" w:after="120"/>
      </w:pPr>
      <w:r>
        <w:rPr>
          <w:rFonts w:ascii="Arial" w:cs="Arial" w:eastAsia="Arial" w:hAnsi="Arial"/>
          <w:b/>
          <w:bCs/>
          <w:color w:val="2E75B6"/>
          <w:sz w:val="24"/>
          <w:szCs w:val="24"/>
        </w:rPr>
        <w:t xml:space="preserve">7.2 Hallazgos generales</w:t>
      </w:r>
    </w:p>
    <w:p>
      <w:pPr>
        <w:pStyle w:val="ListParagraph"/>
        <w:numPr>
          <w:ilvl w:val="0"/>
          <w:numId w:val="2"/>
        </w:numPr>
        <w:spacing w:before="0" w:after="80"/>
      </w:pPr>
      <w:r>
        <w:rPr>
          <w:rFonts w:ascii="Arial" w:cs="Arial" w:eastAsia="Arial" w:hAnsi="Arial"/>
          <w:color w:val="1A1A1A"/>
          <w:sz w:val="22"/>
          <w:szCs w:val="22"/>
        </w:rPr>
        <w:t xml:space="preserve">Tras la limpieza se conservaron 2.581 registros (51.6% del total). La columna Parent_Education_Level concentró la mayor tasa de valores faltantes (35.9%).</w:t>
      </w:r>
    </w:p>
    <w:p>
      <w:pPr>
        <w:pStyle w:val="ListParagraph"/>
        <w:numPr>
          <w:ilvl w:val="0"/>
          <w:numId w:val="2"/>
        </w:numPr>
        <w:spacing w:before="0" w:after="80"/>
      </w:pPr>
      <w:r>
        <w:rPr>
          <w:rFonts w:ascii="Arial" w:cs="Arial" w:eastAsia="Arial" w:hAnsi="Arial"/>
          <w:color w:val="1A1A1A"/>
          <w:sz w:val="22"/>
          <w:szCs w:val="22"/>
        </w:rPr>
        <w:t xml:space="preserve">Las distribuciones de todas las variables numéricas son prácticamente simétricas (asimetría ≈ 0), lo que es consistente con una generación aleatoria uniforme.</w:t>
      </w:r>
    </w:p>
    <w:p>
      <w:pPr>
        <w:pStyle w:val="ListParagraph"/>
        <w:numPr>
          <w:ilvl w:val="0"/>
          <w:numId w:val="2"/>
        </w:numPr>
        <w:spacing w:before="0" w:after="80"/>
      </w:pPr>
      <w:r>
        <w:rPr>
          <w:rFonts w:ascii="Arial" w:cs="Arial" w:eastAsia="Arial" w:hAnsi="Arial"/>
          <w:color w:val="1A1A1A"/>
          <w:sz w:val="22"/>
          <w:szCs w:val="22"/>
        </w:rPr>
        <w:t xml:space="preserve">La correlación máxima entre cualquier par de variables es |r| = 0.06, muy por debajo de lo esperado en datos académicos reales.</w:t>
      </w:r>
    </w:p>
    <w:p>
      <w:pPr>
        <w:pStyle w:val="ListParagraph"/>
        <w:numPr>
          <w:ilvl w:val="0"/>
          <w:numId w:val="2"/>
        </w:numPr>
        <w:spacing w:before="0" w:after="80"/>
      </w:pPr>
      <w:r>
        <w:rPr>
          <w:rFonts w:ascii="Arial" w:cs="Arial" w:eastAsia="Arial" w:hAnsi="Arial"/>
          <w:color w:val="1A1A1A"/>
          <w:sz w:val="22"/>
          <w:szCs w:val="22"/>
        </w:rPr>
        <w:t xml:space="preserve">La variable Grade no guarda relación monotónica con Total_Score, confirmando el carácter sintético del dataset.</w:t>
      </w:r>
    </w:p>
    <w:p>
      <w:pPr>
        <w:spacing w:before="0" w:after="80"/>
      </w:pPr>
    </w:p>
    <w:p>
      <w:pPr>
        <w:pStyle w:val="Heading2"/>
        <w:spacing w:before="240" w:after="120"/>
      </w:pPr>
      <w:r>
        <w:rPr>
          <w:rFonts w:ascii="Arial" w:cs="Arial" w:eastAsia="Arial" w:hAnsi="Arial"/>
          <w:b/>
          <w:bCs/>
          <w:color w:val="2E75B6"/>
          <w:sz w:val="24"/>
          <w:szCs w:val="24"/>
        </w:rPr>
        <w:t xml:space="preserve">7.3 Limitaciones</w:t>
      </w:r>
    </w:p>
    <w:p>
      <w:pPr>
        <w:pStyle w:val="ListParagraph"/>
        <w:numPr>
          <w:ilvl w:val="0"/>
          <w:numId w:val="2"/>
        </w:numPr>
        <w:spacing w:before="0" w:after="80"/>
      </w:pPr>
      <w:r>
        <w:rPr>
          <w:rFonts w:ascii="Arial" w:cs="Arial" w:eastAsia="Arial" w:hAnsi="Arial"/>
          <w:color w:val="1A1A1A"/>
          <w:sz w:val="22"/>
          <w:szCs w:val="22"/>
        </w:rPr>
        <w:t xml:space="preserve">El dataset es de naturaleza sintética: las variables fueron generadas de forma independiente, lo que impide detectar relaciones reales.</w:t>
      </w:r>
    </w:p>
    <w:p>
      <w:pPr>
        <w:pStyle w:val="ListParagraph"/>
        <w:numPr>
          <w:ilvl w:val="0"/>
          <w:numId w:val="2"/>
        </w:numPr>
        <w:spacing w:before="0" w:after="80"/>
      </w:pPr>
      <w:r>
        <w:rPr>
          <w:rFonts w:ascii="Arial" w:cs="Arial" w:eastAsia="Arial" w:hAnsi="Arial"/>
          <w:color w:val="1A1A1A"/>
          <w:sz w:val="22"/>
          <w:szCs w:val="22"/>
        </w:rPr>
        <w:t xml:space="preserve">El análisis se centró en relaciones bivariadas (correlaciones). Relaciones no lineales o efectos de interacción entre variables quedan fuera del alcance.</w:t>
      </w:r>
    </w:p>
    <w:p>
      <w:pPr>
        <w:pStyle w:val="ListParagraph"/>
        <w:numPr>
          <w:ilvl w:val="0"/>
          <w:numId w:val="2"/>
        </w:numPr>
        <w:spacing w:before="0" w:after="80"/>
      </w:pPr>
      <w:r>
        <w:rPr>
          <w:rFonts w:ascii="Arial" w:cs="Arial" w:eastAsia="Arial" w:hAnsi="Arial"/>
          <w:color w:val="1A1A1A"/>
          <w:sz w:val="22"/>
          <w:szCs w:val="22"/>
        </w:rPr>
        <w:t xml:space="preserve">La eliminación de registros incompletos redujo la muestra en un 48.4%, lo que podría introducir sesgo si los datos faltantes no son aleatorios.</w:t>
      </w:r>
    </w:p>
    <w:p>
      <w:pPr>
        <w:spacing w:before="0" w:after="80"/>
      </w:pPr>
    </w:p>
    <w:p>
      <w:pPr>
        <w:pStyle w:val="Heading2"/>
        <w:spacing w:before="240" w:after="120"/>
      </w:pPr>
      <w:r>
        <w:rPr>
          <w:rFonts w:ascii="Arial" w:cs="Arial" w:eastAsia="Arial" w:hAnsi="Arial"/>
          <w:b/>
          <w:bCs/>
          <w:color w:val="2E75B6"/>
          <w:sz w:val="24"/>
          <w:szCs w:val="24"/>
        </w:rPr>
        <w:t xml:space="preserve">7.4 Recomendaciones para la Dirección de Asuntos Estudiantiles</w:t>
      </w:r>
    </w:p>
    <w:p>
      <w:pPr>
        <w:pStyle w:val="ListParagraph"/>
        <w:numPr>
          <w:ilvl w:val="0"/>
          <w:numId w:val="2"/>
        </w:numPr>
        <w:spacing w:before="0" w:after="80"/>
      </w:pPr>
      <w:r>
        <w:rPr>
          <w:rFonts w:ascii="Arial" w:cs="Arial" w:eastAsia="Arial" w:hAnsi="Arial"/>
          <w:color w:val="1A1A1A"/>
          <w:sz w:val="22"/>
          <w:szCs w:val="22"/>
        </w:rPr>
        <w:t xml:space="preserve">Revisión de la fuente de datos: para respaldar decisiones institucionales reales se recomienda recopilar o utilizar datos longitudinales genuinos de la población estudiantil.</w:t>
      </w:r>
    </w:p>
    <w:p>
      <w:pPr>
        <w:pStyle w:val="ListParagraph"/>
        <w:numPr>
          <w:ilvl w:val="0"/>
          <w:numId w:val="2"/>
        </w:numPr>
        <w:spacing w:before="0" w:after="80"/>
      </w:pPr>
      <w:r>
        <w:rPr>
          <w:rFonts w:ascii="Arial" w:cs="Arial" w:eastAsia="Arial" w:hAnsi="Arial"/>
          <w:color w:val="1A1A1A"/>
          <w:sz w:val="22"/>
          <w:szCs w:val="22"/>
        </w:rPr>
        <w:t xml:space="preserve">Ampliar el análisis con modelos multivariados (regresión lineal múltiple) una vez disponibles datos con variabilidad real, para controlar el efecto de variables confusoras como ingresos familiares, departamento o acceso a internet.</w:t>
      </w:r>
    </w:p>
    <w:p>
      <w:pPr>
        <w:pStyle w:val="ListParagraph"/>
        <w:numPr>
          <w:ilvl w:val="0"/>
          <w:numId w:val="2"/>
        </w:numPr>
        <w:spacing w:before="0" w:after="80"/>
      </w:pPr>
      <w:r>
        <w:rPr>
          <w:rFonts w:ascii="Arial" w:cs="Arial" w:eastAsia="Arial" w:hAnsi="Arial"/>
          <w:color w:val="1A1A1A"/>
          <w:sz w:val="22"/>
          <w:szCs w:val="22"/>
        </w:rPr>
        <w:t xml:space="preserve">Considerar relaciones no lineales: en datos reales, la relación entre estrés y rendimiento suele tener forma de U invertida (estrés moderado puede ser positivo), patrón no detectable con correlaciones lineales.</w:t>
      </w:r>
    </w:p>
    <w:p>
      <w:pPr>
        <w:pStyle w:val="ListParagraph"/>
        <w:numPr>
          <w:ilvl w:val="0"/>
          <w:numId w:val="2"/>
        </w:numPr>
        <w:spacing w:before="0" w:after="80"/>
      </w:pPr>
      <w:r>
        <w:rPr>
          <w:rFonts w:ascii="Arial" w:cs="Arial" w:eastAsia="Arial" w:hAnsi="Arial"/>
          <w:color w:val="1A1A1A"/>
          <w:sz w:val="22"/>
          <w:szCs w:val="22"/>
        </w:rPr>
        <w:t xml:space="preserve">Implementar instrumentos de medición más precisos para variables clave como horas de estudio efectivas (versus declaradas) y calidad del sueño.</w:t>
      </w:r>
    </w:p>
    <w:p>
      <w:pPr>
        <w:spacing w:before="0" w:after="160"/>
      </w:pPr>
    </w:p>
    <w:p>
      <w:pPr>
        <w:pStyle w:val="Heading1"/>
        <w:pBdr>
          <w:bottom w:val="single" w:color="2E75B6" w:sz="6" w:space="4"/>
        </w:pBdr>
        <w:spacing w:before="320" w:after="160"/>
      </w:pPr>
      <w:r>
        <w:rPr>
          <w:rFonts w:ascii="Arial" w:cs="Arial" w:eastAsia="Arial" w:hAnsi="Arial"/>
          <w:b/>
          <w:bCs/>
          <w:color w:val="1F4E79"/>
          <w:sz w:val="28"/>
          <w:szCs w:val="28"/>
        </w:rPr>
        <w:t xml:space="preserve">8. Resumen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60"/>
        <w:gridCol w:w="1560"/>
        <w:gridCol w:w="1580"/>
        <w:gridCol w:w="2160"/>
      </w:tblGrid>
      <w:tr>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Hipótesis</w:t>
            </w:r>
          </w:p>
        </w:tc>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Pearson r / p</w:t>
            </w:r>
          </w:p>
        </w:tc>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Spearman ρ / p</w:t>
            </w:r>
          </w:p>
        </w:tc>
        <w:tc>
          <w:tcPr>
            <w:tcW w:type="dxa" w:w="15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Kruskal H / p</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Decisión final</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H₁: Study_Hours vs Total_Score</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-0.007 / 0.740</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-0.006 / 0.776</w:t>
            </w:r>
          </w:p>
        </w:tc>
        <w:tc>
          <w:tcPr>
            <w:tcW w:type="dxa" w:w="1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0.54 / 0.910</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 se rechaza H₀</w:t>
            </w:r>
          </w:p>
        </w:tc>
      </w:tr>
      <w:tr>
        <w:tc>
          <w:tcPr>
            <w:tcW w:type="dxa" w:w="2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H₂: Stress_Level vs Final_Score</w:t>
            </w:r>
          </w:p>
        </w:tc>
        <w:tc>
          <w:tcPr>
            <w:tcW w:type="dxa" w:w="1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-0.021 / 0.280</w:t>
            </w:r>
          </w:p>
        </w:tc>
        <w:tc>
          <w:tcPr>
            <w:tcW w:type="dxa" w:w="1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-0.020 / 0.306</w:t>
            </w:r>
          </w:p>
        </w:tc>
        <w:tc>
          <w:tcPr>
            <w:tcW w:type="dxa" w:w="15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0.21 / 0.902</w:t>
            </w:r>
          </w:p>
        </w:tc>
        <w:tc>
          <w:tcPr>
            <w:tcW w:type="dxa" w:w="2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 se rechaza H₀</w:t>
            </w:r>
          </w:p>
        </w:tc>
      </w:tr>
    </w:tbl>
    <w:p>
      <w:pPr>
        <w:spacing w:before="0" w:after="80"/>
      </w:pPr>
    </w:p>
    <w:p>
      <w:pPr>
        <w:spacing w:before="0" w:after="120"/>
        <w:jc w:val="both"/>
      </w:pPr>
      <w:r>
        <w:rPr>
          <w:rFonts w:ascii="Arial" w:cs="Arial" w:eastAsia="Arial" w:hAnsi="Arial"/>
          <w:b w:val="false"/>
          <w:bCs w:val="false"/>
          <w:color w:val="595959"/>
          <w:sz w:val="20"/>
          <w:szCs w:val="20"/>
        </w:rPr>
        <w:t xml:space="preserve">Nota: Todos los p-valores son muy superiores a α = 0.05. La ausencia de significancia estadística es el resultado correcto dado el origen sintético del dataset.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60"/>
      <w:outlineLvl w:val="0"/>
    </w:pPr>
    <w:rPr>
      <w:rFonts w:ascii="Arial" w:cs="Arial" w:eastAsia="Arial" w:hAnsi="Arial"/>
      <w:b/>
      <w:bCs/>
      <w:color w:val="1F4E79"/>
      <w:sz w:val="28"/>
      <w:szCs w:val="28"/>
    </w:rPr>
  </w:style>
  <w:style w:type="paragraph" w:styleId="Heading2">
    <w:name w:val="Heading 2"/>
    <w:basedOn w:val="Normal"/>
    <w:next w:val="Normal"/>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2026-03-31T01:47:09.155Z</dcterms:created>
  <dcterms:modified xsi:type="dcterms:W3CDTF">2026-03-31T01:47:09.156Z</dcterms:modified>
</cp:coreProperties>
</file>

<file path=docProps/custom.xml><?xml version="1.0" encoding="utf-8"?>
<Properties xmlns="http://schemas.openxmlformats.org/officeDocument/2006/custom-properties" xmlns:vt="http://schemas.openxmlformats.org/officeDocument/2006/docPropsVTypes"/>
</file>