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24879264831543" w:lineRule="auto"/>
        <w:ind w:left="600" w:right="60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Watch-and-Build: Robotic LEGO DUPLO Assembly from a Single Human Demonstration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 xml:space="preserve">Team Members: XXX, XXX</w:t>
      </w:r>
    </w:p>
    <w:p>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r>
    </w:p>
    <w:p>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Concept &amp; Goals:</w:t>
      </w:r>
    </w:p>
    <w:p>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7.18379974365234" w:lineRule="auto"/>
        <w:ind w:left="0" w:right="0" w:firstLine="0"/>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 propose a robotic assembly system that watches a person build a small LEGO DUPLO structure once and then rebuilds it with a robot arm. The system will fabricate three brick structures of increasing difficulty: a flat multi-color mosaic, a standing house façade with a door, a window and a stepped roof, and a 26-brick 3D house modeled on the LegoBot case study (Nägele et al., IROS 2020). The purpose is functional rather than aesthetic: DUPLO bricks are an inexpensive, reusable stand-in for small-lot, made-to-order assembly, where a system must identify parts, find a build order that respects physical constraints, and place each part precisely on a grid.</w:t>
      </w:r>
    </w:p>
    <w:p>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7.18379974365234" w:lineRule="auto"/>
        <w:ind w:left="0" w:right="0" w:firstLine="0"/>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demonstration is physical, but the robot is developed and evaluated in a kinematic digital twin. A fixed top-down camera records a person building on a baseplate marked with ArUco tags. Our software converts the video into a brick-level plan, reorders that plan into a sequence a parallel-jaw gripper can execute, and generates collision-free motions for a simulated Franka Emika Panda arm using NVIDIA cuRoboV2, displayed in the Viser web viewer.</w:t>
      </w:r>
    </w:p>
    <w:p>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Our main goals include:</w:t>
      </w:r>
    </w:p>
    <w:p>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hanging="360"/>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Extracting a brick-level assembly plan (brick type, color, grid cell, layer and placement order) from a single real demonstration video, using marker-based grid projection, a height map and a self-verification step, without training a neural network.</w:t>
      </w:r>
    </w:p>
    <w:p>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hanging="360"/>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Planning a robot-feasible assembly order with assembly-by-disassembly search that checks gripper clearance, reachability and structural stability, while staying as close as possible to the demonstrator's order.</w:t>
      </w:r>
    </w:p>
    <w:p>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hanging="360"/>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Executing every pick-and-place motion collision-free in the cuRoboV2 digital twin, and evaluating extraction accuracy, planning success and build success on our three structures and on WorkBenchMark Tiers 1–3.</w:t>
      </w:r>
    </w:p>
    <w:p>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Why Robotics:</w:t>
      </w:r>
    </w:p>
    <w:p>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7.18379974365234" w:lineRule="auto"/>
        <w:ind w:left="0" w:right="0" w:firstLine="0"/>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person can build these structures without thinking about order, but a robot cannot. A parallel-jaw gripper needs clearance on two opposite sides of the brick it holds, so a poor order creates dead ends in which a brick can no longer be reached, and overhangs and lintels add constraints on which bricks must come first. LegoBot describes these as the exclusion, collision, statics and overhang problems, and shows that a simple layer-by-layer order is not feasible in general. Automating the build therefore requires explicit reasoning about the robot's own geometry, not just the final shape. DUPLO studs also demand repeatable, millimeter-level alignment across dozens of near-identical pick-and-place cycles, which is exactly the precision and repetition an industrial arm provides. Compared with a three-axis gantry, a six-axis arm can rotate its grasp and change its approach direction, so fewer layouts are ruled out by gripper collisions. Finally, learning from demonstration makes the cell reprogrammable by non-experts: a new product is taught by building it once, instead of writing robot code.</w:t>
      </w:r>
    </w:p>
    <w:p>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7.18379974365234" w:lineRule="auto"/>
        <w:ind w:left="0" w:right="0" w:firstLine="0"/>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 develop the robot side in simulation, following the digital twins used by LegoBot and by Carnegie Mellon University's Prompt-to-Product system, neither of which simulates brick-to-brick contact. This lets us study sequencing, reachability and collision avoidance safely within the seven-week timeline, with brick stability checked analytically rather than with a physics engine.</w:t>
      </w:r>
    </w:p>
    <w:p>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Related Works</w:t>
      </w:r>
    </w:p>
    <w:p>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Project 1:</w:t>
      </w:r>
    </w:p>
    <w:p>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“Robotic LEGO Assembly and Disassembly from Human Demonstration” and “Simulation-aided Learning from Demonstration for Robotic LEGO Construction” by Ruixuan Liu, Changliu Liu et al., Intelligent Control Lab, Carnegie Mellon University</w:t>
      </w:r>
    </w:p>
    <w:p>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7.18379974365234" w:lineRule="auto"/>
        <w:ind w:left="0" w:right="0" w:firstLine="0"/>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These two projects teach an industrial robot to build LEGO designs by watching a person. A depth camera records a human building a design on a baseplate; still keyframes before and after each operation are compared to extract each brick's type, grid position and orientation, and the resulting task graph is executed by a FANUC LR-mate 200iD/7L robot with a 3D-printed end-of-arm tool. Disassembly is generated by reversing the plan, and a digital twin checks that the learned plan is operable by the robot. The follow-up work (SaLfD) replaces the rule-based extractor with neural networks that propose ranked brick candidates and verifies each candidate in a Gazebo simulation; across eight designs, this verification raised the build success rate from 63–77% to 86–100%. Our perception stage starts from their released rule-based script and adopts the verify-before-build idea, but replaces learned extraction with marker-based grid projection and a height map so that stacked 3D structures can be recovered, and adds robot-aware reordering, because the order a human uses may not be feasible for a robot.</w:t>
      </w:r>
    </w:p>
    <w:p>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Times New Roman" w:cs="Times New Roman" w:eastAsia="Times New Roman" w:hAnsi="Times New Roman"/>
          <w:b w:val="0"/>
          <w:bCs w:val="0"/>
          <w:i w:val="0"/>
          <w:iCs w:val="0"/>
          <w:smallCaps w:val="0"/>
          <w:strike w:val="0"/>
          <w:color w:val="0563c1"/>
          <w:sz w:val="22.079999923706055"/>
          <w:szCs w:val="22.079999923706055"/>
          <w:u w:val="single"/>
          <w:shd w:fill="auto" w:val="clear"/>
          <w:vertAlign w:val="baseline"/>
        </w:rPr>
      </w:pPr>
      <w: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Source: </w:t>
      </w:r>
      <w:hyperlink r:id="rIdLink1">
        <w:r>
          <w:rPr>
            <w:rFonts w:ascii="Times New Roman" w:cs="Times New Roman" w:eastAsia="Times New Roman" w:hAnsi="Times New Roman"/>
            <w:b w:val="0"/>
            <w:bCs w:val="0"/>
            <w:i w:val="0"/>
            <w:iCs w:val="0"/>
            <w:smallCaps w:val="0"/>
            <w:strike w:val="0"/>
            <w:color w:val="0563C1"/>
            <w:sz w:val="22.079999923706055"/>
            <w:szCs w:val="22.079999923706055"/>
            <w:u w:val="single"/>
            <w:shd w:fill="auto" w:val="clear"/>
            <w:vertAlign w:val="baseline"/>
            <w:rtl w:val="0"/>
          </w:rPr>
          <w:t xml:space="preserve">https://arxiv.org/abs/2305.15667</w:t>
        </w:r>
      </w:hyperlink>
      <w: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hyperlink r:id="rIdLink2">
        <w:r>
          <w:rPr>
            <w:rFonts w:ascii="Times New Roman" w:cs="Times New Roman" w:eastAsia="Times New Roman" w:hAnsi="Times New Roman"/>
            <w:b w:val="0"/>
            <w:bCs w:val="0"/>
            <w:i w:val="0"/>
            <w:iCs w:val="0"/>
            <w:smallCaps w:val="0"/>
            <w:strike w:val="0"/>
            <w:color w:val="0563C1"/>
            <w:sz w:val="22.079999923706055"/>
            <w:szCs w:val="22.079999923706055"/>
            <w:u w:val="single"/>
            <w:shd w:fill="auto" w:val="clear"/>
            <w:vertAlign w:val="baseline"/>
            <w:rtl w:val="0"/>
          </w:rPr>
          <w:t xml:space="preserve">https://arxiv.org/abs/2309.11010</w:t>
        </w:r>
      </w:hyperlink>
      <w: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code: </w:t>
      </w:r>
      <w:hyperlink r:id="rIdLink3">
        <w:r>
          <w:rPr>
            <w:rFonts w:ascii="Times New Roman" w:cs="Times New Roman" w:eastAsia="Times New Roman" w:hAnsi="Times New Roman"/>
            <w:b w:val="0"/>
            <w:bCs w:val="0"/>
            <w:i w:val="0"/>
            <w:iCs w:val="0"/>
            <w:smallCaps w:val="0"/>
            <w:strike w:val="0"/>
            <w:color w:val="0563C1"/>
            <w:sz w:val="22.079999923706055"/>
            <w:szCs w:val="22.079999923706055"/>
            <w:u w:val="single"/>
            <w:shd w:fill="auto" w:val="clear"/>
            <w:vertAlign w:val="baseline"/>
            <w:rtl w:val="0"/>
          </w:rPr>
          <w:t xml:space="preserve">https://github.com/intelligent-control-lab/Robotic_LEGO_Assembly_and_Disassembly_from_Human_Demonstration</w:t>
        </w:r>
      </w:hyperlink>
    </w:p>
    <w:p>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Project 2:</w:t>
      </w:r>
    </w:p>
    <w:p>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“WorkBenchMark: A LEGO-Based Assembly Benchmark with an Assembly-by-Disassembly Baseline” by Wenbo Ma, Daniel Swoboda, Matteo Tschesche and Till Hofmann, RWTH Aachen University and FH Aachen University of Applied Sciences</w:t>
      </w:r>
    </w:p>
    <w:p>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7.18379974365234" w:lineRule="auto"/>
        <w:ind w:left="0" w:right="0" w:firstLine="0"/>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WorkBenchMark defines 400 LEGO DUPLO assembly tasks in four tiers, from two-brick stacks to interlocking structures with overhangs, and provides a baseline built around a Franka Emika Panda arm. Its planning technique is the most relevant part for us: assembly-by-disassembly on a voxel grid. Starting from the finished product, the planner repeatedly removes a top-exposed brick only if at least one predefined grasp is collision-free and the remaining structure stays stable under the pressing force, searching depth-first with backtracking; reversing the removal sequence gives a physically feasible assembly order. With this structured pipeline, the authors report 77.5% overall success, compared with 42.5% for a fine-tuned π0.5 vision-language-action model and 38.3% for a zero-shot model, with the largest gap on long-horizon tasks. We adopt assembly-by-disassembly as our planning backbone and use the benchmark's YAML task format, tiers and metrics for evaluation, extending the candidate selection so that the robot prefers the demonstrator's order whenever several bricks are removable.</w:t>
      </w:r>
    </w:p>
    <w:p>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Times New Roman" w:cs="Times New Roman" w:eastAsia="Times New Roman" w:hAnsi="Times New Roman"/>
          <w:b w:val="0"/>
          <w:bCs w:val="0"/>
          <w:i w:val="0"/>
          <w:iCs w:val="0"/>
          <w:smallCaps w:val="0"/>
          <w:strike w:val="0"/>
          <w:color w:val="0563c1"/>
          <w:sz w:val="22.079999923706055"/>
          <w:szCs w:val="22.079999923706055"/>
          <w:u w:val="single"/>
          <w:shd w:fill="auto" w:val="clear"/>
          <w:vertAlign w:val="baseline"/>
        </w:rPr>
      </w:pPr>
      <w: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Source: </w:t>
      </w:r>
      <w:hyperlink r:id="rIdLink4">
        <w:r>
          <w:rPr>
            <w:rFonts w:ascii="Times New Roman" w:cs="Times New Roman" w:eastAsia="Times New Roman" w:hAnsi="Times New Roman"/>
            <w:b w:val="0"/>
            <w:bCs w:val="0"/>
            <w:i w:val="0"/>
            <w:iCs w:val="0"/>
            <w:smallCaps w:val="0"/>
            <w:strike w:val="0"/>
            <w:color w:val="0563C1"/>
            <w:sz w:val="22.079999923706055"/>
            <w:szCs w:val="22.079999923706055"/>
            <w:u w:val="single"/>
            <w:shd w:fill="auto" w:val="clear"/>
            <w:vertAlign w:val="baseline"/>
            <w:rtl w:val="0"/>
          </w:rPr>
          <w:t xml:space="preserve">https://workbenchmark.github.io/</w:t>
        </w:r>
      </w:hyperlink>
      <w: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dataset: </w:t>
      </w:r>
      <w:hyperlink r:id="rIdLink5">
        <w:r>
          <w:rPr>
            <w:rFonts w:ascii="Times New Roman" w:cs="Times New Roman" w:eastAsia="Times New Roman" w:hAnsi="Times New Roman"/>
            <w:b w:val="0"/>
            <w:bCs w:val="0"/>
            <w:i w:val="0"/>
            <w:iCs w:val="0"/>
            <w:smallCaps w:val="0"/>
            <w:strike w:val="0"/>
            <w:color w:val="0563C1"/>
            <w:sz w:val="22.079999923706055"/>
            <w:szCs w:val="22.079999923706055"/>
            <w:u w:val="single"/>
            <w:shd w:fill="auto" w:val="clear"/>
            <w:vertAlign w:val="baseline"/>
            <w:rtl w:val="0"/>
          </w:rPr>
          <w:t xml:space="preserve">https://github.com/WorkBenchMark/dataset</w:t>
        </w:r>
      </w:hyperlink>
    </w:p>
    <w:sectPr>
      <w:pgSz w:h="15840" w:w="12240" w:orient="portrait"/>
      <w:pgMar w:bottom="1970.8799743652344" w:top="1416.400146484375" w:left="1440" w:right="1329.371337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Link1" Type="http://schemas.openxmlformats.org/officeDocument/2006/relationships/hyperlink" Target="https://arxiv.org/abs/2305.15667" TargetMode="External"/><Relationship Id="rIdLink2" Type="http://schemas.openxmlformats.org/officeDocument/2006/relationships/hyperlink" Target="https://arxiv.org/abs/2309.11010" TargetMode="External"/><Relationship Id="rIdLink3" Type="http://schemas.openxmlformats.org/officeDocument/2006/relationships/hyperlink" Target="https://github.com/intelligent-control-lab/Robotic_LEGO_Assembly_and_Disassembly_from_Human_Demonstration" TargetMode="External"/><Relationship Id="rIdLink4" Type="http://schemas.openxmlformats.org/officeDocument/2006/relationships/hyperlink" Target="https://workbenchmark.github.io/" TargetMode="External"/><Relationship Id="rIdLink5" Type="http://schemas.openxmlformats.org/officeDocument/2006/relationships/hyperlink" Target="https://github.com/WorkBenchMark/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