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8"/>
          <w:szCs w:val="28"/>
        </w:rPr>
        <w:t xml:space="preserve">Dual-Arm Robotic Assembly of Discrete Interlocking Brick Structures</w:t>
      </w:r>
    </w:p>
    <w:p>
      <w:pPr>
        <w:spacing w:after="240"/>
      </w:pPr>
      <w:r>
        <w:rPr>
          <w:rFonts w:ascii="Calibri" w:cs="Calibri" w:eastAsia="Calibri" w:hAnsi="Calibri"/>
          <w:sz w:val="22"/>
          <w:szCs w:val="22"/>
        </w:rPr>
        <w:t xml:space="preserve">ISDN5240 RoboFab — Preliminary Proposal        Team Members: Sakib, [Team Member 2]</w:t>
      </w:r>
    </w:p>
    <w:p>
      <w:pPr>
        <w:spacing w:after="120" w:before="240"/>
      </w:pPr>
      <w:r>
        <w:rPr>
          <w:rFonts w:ascii="Calibri" w:cs="Calibri" w:eastAsia="Calibri" w:hAnsi="Calibri"/>
          <w:b/>
          <w:bCs/>
          <w:sz w:val="24"/>
          <w:szCs w:val="24"/>
        </w:rPr>
        <w:t xml:space="preserve">1. Introduction</w:t>
      </w:r>
    </w:p>
    <w:p>
      <w:pPr>
        <w:spacing w:after="80" w:before="200"/>
      </w:pPr>
      <w:r>
        <w:rPr>
          <w:rFonts w:ascii="Calibri" w:cs="Calibri" w:eastAsia="Calibri" w:hAnsi="Calibri"/>
          <w:b/>
          <w:bCs/>
          <w:sz w:val="22"/>
          <w:szCs w:val="22"/>
        </w:rPr>
        <w:t xml:space="preserve">Concept &amp; Goals:</w:t>
      </w:r>
    </w:p>
    <w:p>
      <w:pPr>
        <w:spacing w:after="120" w:line="276"/>
        <w:jc w:val="both"/>
      </w:pPr>
      <w:r>
        <w:rPr>
          <w:rFonts w:ascii="Calibri" w:cs="Calibri" w:eastAsia="Calibri" w:hAnsi="Calibri"/>
          <w:i w:val="false"/>
          <w:iCs w:val="false"/>
          <w:sz w:val="22"/>
          <w:szCs w:val="22"/>
        </w:rPr>
        <w:t xml:space="preserve">We propose to fabricate freestanding structures assembled from discrete, dry-jointed interlocking brick units (LEGO System bricks) using two cooperating industrial robot arms. The primary purpose of the work is structural and functional: to demonstrate a fully reversible, scaffold-free discrete assembly process in which the fabricated artefact can be disassembled and its material returned to stock without waste. The formal ambition is to build geometries that dry-stacked masonry cannot hold up on its own during construction — cantilevers, overhangs and spanning arches — by using the second robot as transient structural support in place of falsework.</w:t>
      </w:r>
    </w:p>
    <w:p>
      <w:pPr>
        <w:spacing w:after="120" w:line="276"/>
        <w:jc w:val="both"/>
      </w:pPr>
      <w:r>
        <w:rPr>
          <w:rFonts w:ascii="Calibri" w:cs="Calibri" w:eastAsia="Calibri" w:hAnsi="Calibri"/>
          <w:i w:val="false"/>
          <w:iCs w:val="false"/>
          <w:sz w:val="22"/>
          <w:szCs w:val="22"/>
        </w:rPr>
        <w:t xml:space="preserve">What makes this a fabrication problem rather than a pick-and-place problem is the joint. Each brick connection is an interference press-fit: a stud of roughly 4.8 mm diameter is driven into a cavity with approximately 0.1 mm of radial interference, requiring on the order of 8–15 N of insertion force per stud while lateral alignment is held within about 1 mm. Every placement is therefore a force-regulated joining operation performed into a partially built structure whose stiffness and failure mode change at every step.</w:t>
      </w:r>
    </w:p>
    <w:p>
      <w:pPr>
        <w:spacing w:after="120" w:line="276"/>
        <w:jc w:val="both"/>
      </w:pPr>
      <w:r>
        <w:rPr>
          <w:rFonts w:ascii="Calibri" w:cs="Calibri" w:eastAsia="Calibri" w:hAnsi="Calibri"/>
          <w:i w:val="false"/>
          <w:iCs w:val="false"/>
          <w:sz w:val="22"/>
          <w:szCs w:val="22"/>
        </w:rPr>
        <w:t xml:space="preserve">Our main goals include:</w:t>
      </w:r>
    </w:p>
    <w:p>
      <w:pPr>
        <w:spacing w:after="100" w:line="276"/>
        <w:ind w:left="400" w:hanging="280"/>
      </w:pPr>
      <w:r>
        <w:rPr>
          <w:rFonts w:ascii="Calibri" w:cs="Calibri" w:eastAsia="Calibri" w:hAnsi="Calibri"/>
          <w:sz w:val="22"/>
          <w:szCs w:val="22"/>
        </w:rPr>
        <w:t xml:space="preserve">1.  Developing a computational pipeline that converts a target 3D form into a structurally stable brick layout and a collision-aware assembly sequence, with gripper clearance treated as a design constraint rather than a post-hoc check.</w:t>
      </w:r>
    </w:p>
    <w:p>
      <w:pPr>
        <w:spacing w:after="100" w:line="276"/>
        <w:ind w:left="400" w:hanging="280"/>
      </w:pPr>
      <w:r>
        <w:rPr>
          <w:rFonts w:ascii="Calibri" w:cs="Calibri" w:eastAsia="Calibri" w:hAnsi="Calibri"/>
          <w:sz w:val="22"/>
          <w:szCs w:val="22"/>
        </w:rPr>
        <w:t xml:space="preserve">2.  Developing a cooperative dual-arm fabrication strategy in which one arm braces the partially built structure at its predicted weakest joint while the second arm performs the press-fit insertion.</w:t>
      </w:r>
    </w:p>
    <w:p>
      <w:pPr>
        <w:spacing w:after="100" w:line="276"/>
        <w:ind w:left="400" w:hanging="280"/>
      </w:pPr>
      <w:r>
        <w:rPr>
          <w:rFonts w:ascii="Calibri" w:cs="Calibri" w:eastAsia="Calibri" w:hAnsi="Calibri"/>
          <w:sz w:val="22"/>
          <w:szCs w:val="22"/>
        </w:rPr>
        <w:t xml:space="preserve">3.  Developing a force-aware precision placement routine that closes the final sub-millimetre alignment using wrist force/torque feedback and wrist-mounted vision, rather than relying on open-loop positional accuracy.</w:t>
      </w:r>
    </w:p>
    <w:p>
      <w:pPr>
        <w:spacing w:after="100" w:line="276"/>
        <w:ind w:left="400" w:hanging="280"/>
      </w:pPr>
      <w:r>
        <w:rPr>
          <w:rFonts w:ascii="Calibri" w:cs="Calibri" w:eastAsia="Calibri" w:hAnsi="Calibri"/>
          <w:sz w:val="22"/>
          <w:szCs w:val="22"/>
        </w:rPr>
        <w:t xml:space="preserve">4.  Validating the complete fabrication process in physics simulation, quantifying per-brick insertion success rate, peak insertion force and the measured contribution of the bracing arm, before committing the process to hardware.</w:t>
      </w:r>
    </w:p>
    <w:p>
      <w:pPr>
        <w:pBdr>
          <w:top w:val="dashed" w:color="999999" w:sz="6"/>
          <w:bottom w:val="dashed" w:color="999999" w:sz="6"/>
          <w:left w:val="dashed" w:color="999999" w:sz="6"/>
          <w:right w:val="dashed" w:color="999999" w:sz="6"/>
        </w:pBdr>
        <w:spacing w:after="160" w:before="120"/>
        <w:jc w:val="center"/>
      </w:pPr>
      <w:r>
        <w:rPr>
          <w:rFonts w:ascii="Calibri" w:cs="Calibri" w:eastAsia="Calibri" w:hAnsi="Calibri"/>
          <w:i/>
          <w:iCs/>
          <w:color w:val="666666"/>
          <w:sz w:val="20"/>
          <w:szCs w:val="20"/>
        </w:rPr>
        <w:t xml:space="preserve">[ Figure 1 — Insert a render of one target structure (e.g. the spanning arch), showing the brick layout and the unsupported span. ]</w:t>
      </w:r>
    </w:p>
    <w:p>
      <w:pPr>
        <w:pBdr>
          <w:top w:val="dashed" w:color="999999" w:sz="6"/>
          <w:bottom w:val="dashed" w:color="999999" w:sz="6"/>
          <w:left w:val="dashed" w:color="999999" w:sz="6"/>
          <w:right w:val="dashed" w:color="999999" w:sz="6"/>
        </w:pBdr>
        <w:spacing w:after="160" w:before="120"/>
        <w:jc w:val="center"/>
      </w:pPr>
      <w:r>
        <w:rPr>
          <w:rFonts w:ascii="Calibri" w:cs="Calibri" w:eastAsia="Calibri" w:hAnsi="Calibri"/>
          <w:i/>
          <w:iCs/>
          <w:color w:val="666666"/>
          <w:sz w:val="20"/>
          <w:szCs w:val="20"/>
        </w:rPr>
        <w:t xml:space="preserve">[ Figure 2 — Insert a screenshot of the simulated dual-arm fabrication cell: two arms, baseplate, brick feeder trays. ]</w:t>
      </w:r>
    </w:p>
    <w:p>
      <w:pPr>
        <w:spacing w:after="80" w:before="200"/>
      </w:pPr>
      <w:r>
        <w:rPr>
          <w:rFonts w:ascii="Calibri" w:cs="Calibri" w:eastAsia="Calibri" w:hAnsi="Calibri"/>
          <w:b/>
          <w:bCs/>
          <w:sz w:val="22"/>
          <w:szCs w:val="22"/>
        </w:rPr>
        <w:t xml:space="preserve">Why Robotics:</w:t>
      </w:r>
    </w:p>
    <w:p>
      <w:pPr>
        <w:spacing w:after="120" w:line="276"/>
        <w:jc w:val="both"/>
      </w:pPr>
      <w:r>
        <w:rPr>
          <w:rFonts w:ascii="Calibri" w:cs="Calibri" w:eastAsia="Calibri" w:hAnsi="Calibri"/>
          <w:i w:val="false"/>
          <w:iCs w:val="false"/>
          <w:sz w:val="22"/>
          <w:szCs w:val="22"/>
        </w:rPr>
        <w:t xml:space="preserve">This project necessitates industrial robots for four reasons, of which the fourth is decisive.</w:t>
      </w:r>
    </w:p>
    <w:p>
      <w:pPr>
        <w:spacing w:after="120" w:line="276"/>
        <w:jc w:val="both"/>
      </w:pPr>
      <w:r>
        <w:rPr>
          <w:rFonts w:ascii="Calibri" w:cs="Calibri" w:eastAsia="Calibri" w:hAnsi="Calibri"/>
          <w:i w:val="false"/>
          <w:iCs w:val="false"/>
          <w:sz w:val="22"/>
          <w:szCs w:val="22"/>
        </w:rPr>
        <w:t xml:space="preserve">Precision. The press-fit tolerance is on the order of 0.1 mm of radial interference, and lateral alignment must be held within roughly 1 mm while 8–15 N per stud is applied along a single controlled axis. A six-axis manipulator with joint-torque sensing can regulate the approach pose and the insertion wrench simultaneously; a hand, a jig, or a three-axis gantry can do neither reliably at this scale.</w:t>
      </w:r>
    </w:p>
    <w:p>
      <w:pPr>
        <w:spacing w:after="120" w:line="276"/>
        <w:jc w:val="both"/>
      </w:pPr>
      <w:r>
        <w:rPr>
          <w:rFonts w:ascii="Calibri" w:cs="Calibri" w:eastAsia="Calibri" w:hAnsi="Calibri"/>
          <w:i w:val="false"/>
          <w:iCs w:val="false"/>
          <w:sz w:val="22"/>
          <w:szCs w:val="22"/>
        </w:rPr>
        <w:t xml:space="preserve">Repetition. A structure of a few hundred elements requires a few hundred near-identical pick, align and press cycles, each terminating in a contact-rich insertion. This is precisely the class of task in which robotic repeatability outperforms manual labour, and in which manual labour degrades over the course of the build.</w:t>
      </w:r>
    </w:p>
    <w:p>
      <w:pPr>
        <w:spacing w:after="120" w:line="276"/>
        <w:jc w:val="both"/>
      </w:pPr>
      <w:r>
        <w:rPr>
          <w:rFonts w:ascii="Calibri" w:cs="Calibri" w:eastAsia="Calibri" w:hAnsi="Calibri"/>
          <w:i w:val="false"/>
          <w:iCs w:val="false"/>
          <w:sz w:val="22"/>
          <w:szCs w:val="22"/>
        </w:rPr>
        <w:t xml:space="preserve">Custom toolpath per element. Every brick has a different approach vector, gripper orientation and clearance envelope, all computed from the current state of the partially built structure rather than from a fixed fixture. The toolpath cannot be pre-fixtured; it must be generated per element from the evolving geometry.</w:t>
      </w:r>
    </w:p>
    <w:p>
      <w:pPr>
        <w:spacing w:after="120" w:line="276"/>
        <w:jc w:val="both"/>
      </w:pPr>
      <w:r>
        <w:rPr>
          <w:rFonts w:ascii="Calibri" w:cs="Calibri" w:eastAsia="Calibri" w:hAnsi="Calibri"/>
          <w:i w:val="false"/>
          <w:iCs w:val="false"/>
          <w:sz w:val="22"/>
          <w:szCs w:val="22"/>
        </w:rPr>
        <w:t xml:space="preserve">The second arm as structural support. This is the core argument. Cantilevers and spans in dry-stacked assemblies are unstable during construction and conventionally require scaffolding or falsework. A second robot can hold a partially built sub-assembly precisely, indefinitely, and under a known and monitored load while the first arm completes the joint. This eliminates the falsework entirely and admits forms that neither a single arm nor a human mason could build unaided — and it is the specific capability this proposal sets out to develop and measure.</w:t>
      </w:r>
    </w:p>
    <w:p>
      <w:pPr>
        <w:spacing w:after="120" w:before="240"/>
      </w:pPr>
      <w:r>
        <w:rPr>
          <w:rFonts w:ascii="Calibri" w:cs="Calibri" w:eastAsia="Calibri" w:hAnsi="Calibri"/>
          <w:b/>
          <w:bCs/>
          <w:sz w:val="24"/>
          <w:szCs w:val="24"/>
        </w:rPr>
        <w:t xml:space="preserve">2. Related Works</w:t>
      </w:r>
    </w:p>
    <w:p>
      <w:pPr>
        <w:spacing w:after="80" w:before="200"/>
      </w:pPr>
      <w:r>
        <w:rPr>
          <w:rFonts w:ascii="Calibri" w:cs="Calibri" w:eastAsia="Calibri" w:hAnsi="Calibri"/>
          <w:b/>
          <w:bCs/>
          <w:sz w:val="22"/>
          <w:szCs w:val="22"/>
        </w:rPr>
        <w:t xml:space="preserve">Project 1:</w:t>
      </w:r>
    </w:p>
    <w:p>
      <w:pPr>
        <w:spacing w:after="120" w:line="276"/>
        <w:jc w:val="both"/>
      </w:pPr>
      <w:r>
        <w:rPr>
          <w:rFonts w:ascii="Calibri" w:cs="Calibri" w:eastAsia="Calibri" w:hAnsi="Calibri"/>
          <w:i w:val="false"/>
          <w:iCs w:val="false"/>
          <w:sz w:val="22"/>
          <w:szCs w:val="22"/>
        </w:rPr>
        <w:t xml:space="preserve">“The Programmed Wall” by Gramazio Kohler Research, ETH Zurich (2006)</w:t>
      </w:r>
    </w:p>
    <w:p>
      <w:pPr>
        <w:spacing w:after="120" w:line="276"/>
        <w:jc w:val="both"/>
      </w:pPr>
      <w:r>
        <w:rPr>
          <w:rFonts w:ascii="Calibri" w:cs="Calibri" w:eastAsia="Calibri" w:hAnsi="Calibri"/>
          <w:i w:val="false"/>
          <w:iCs w:val="false"/>
          <w:sz w:val="22"/>
          <w:szCs w:val="22"/>
        </w:rPr>
        <w:t xml:space="preserve">The Programmed Wall is the founding demonstration of robotic discrete assembly in architecture and the direct conceptual precedent for this proposal. An industrial robot stacks bricks into precisely defined positions and orientations under the direct control of a design script, so that each individual unit can be rotated and displaced differently without optical reference, measurement, or any additional effort — something a mason cannot do without prohibitive labour. The project established the principle our pipeline depends on: that the design description and the fabrication instruction are the same computational artefact, and that a computed placement sequence can realise brick geometries that are impractical by hand. Our work extends this from a gravity-stacked, adhesive-free wall to an interlocking press-fit system, in which each placement is additionally a force-controlled joining operation into a structure that is changing as it is built.</w:t>
      </w:r>
    </w:p>
    <w:p>
      <w:pPr>
        <w:spacing w:after="80"/>
      </w:pPr>
      <w:r>
        <w:rPr>
          <w:rFonts w:ascii="Calibri" w:cs="Calibri" w:eastAsia="Calibri" w:hAnsi="Calibri"/>
          <w:b/>
          <w:bCs/>
          <w:sz w:val="20"/>
          <w:szCs w:val="20"/>
        </w:rPr>
        <w:t xml:space="preserve">Source: </w:t>
      </w:r>
      <w:hyperlink w:history="1" r:id="rIdtpet7udexgp0m1yfdy0tx">
        <w:r>
          <w:rPr>
            <w:rStyle w:val="Hyperlink"/>
            <w:rFonts w:ascii="Calibri" w:cs="Calibri" w:eastAsia="Calibri" w:hAnsi="Calibri"/>
            <w:color w:val="0563C1"/>
            <w:sz w:val="20"/>
            <w:szCs w:val="20"/>
            <w:u w:val="single"/>
          </w:rPr>
          <w:t xml:space="preserve">https://gramaziokohler.arch.ethz.ch/web/e/lehre/81.html</w:t>
        </w:r>
      </w:hyperlink>
    </w:p>
    <w:p>
      <w:pPr>
        <w:pBdr>
          <w:top w:val="dashed" w:color="999999" w:sz="6"/>
          <w:bottom w:val="dashed" w:color="999999" w:sz="6"/>
          <w:left w:val="dashed" w:color="999999" w:sz="6"/>
          <w:right w:val="dashed" w:color="999999" w:sz="6"/>
        </w:pBdr>
        <w:spacing w:after="160" w:before="120"/>
        <w:jc w:val="center"/>
      </w:pPr>
      <w:r>
        <w:rPr>
          <w:rFonts w:ascii="Calibri" w:cs="Calibri" w:eastAsia="Calibri" w:hAnsi="Calibri"/>
          <w:i/>
          <w:iCs/>
          <w:color w:val="666666"/>
          <w:sz w:val="20"/>
          <w:szCs w:val="20"/>
        </w:rPr>
        <w:t xml:space="preserve">[ Figure 3 — Insert 1–2 images of The Programmed Wall from the Gramazio Kohler project page, with credit. ]</w:t>
      </w:r>
    </w:p>
    <w:p>
      <w:pPr>
        <w:spacing w:after="80" w:before="200"/>
      </w:pPr>
      <w:r>
        <w:rPr>
          <w:rFonts w:ascii="Calibri" w:cs="Calibri" w:eastAsia="Calibri" w:hAnsi="Calibri"/>
          <w:b/>
          <w:bCs/>
          <w:sz w:val="22"/>
          <w:szCs w:val="22"/>
        </w:rPr>
        <w:t xml:space="preserve">Project 2:</w:t>
      </w:r>
    </w:p>
    <w:p>
      <w:pPr>
        <w:spacing w:after="120" w:line="276"/>
        <w:jc w:val="both"/>
      </w:pPr>
      <w:r>
        <w:rPr>
          <w:rFonts w:ascii="Calibri" w:cs="Calibri" w:eastAsia="Calibri" w:hAnsi="Calibri"/>
          <w:i w:val="false"/>
          <w:iCs w:val="false"/>
          <w:sz w:val="22"/>
          <w:szCs w:val="22"/>
        </w:rPr>
        <w:t xml:space="preserve">“LightVault / Robotic Vault” by Stefana Parascho, CREATE Laboratory Princeton, with Skidmore, Owings &amp; Merrill (2020–2021)</w:t>
      </w:r>
    </w:p>
    <w:p>
      <w:pPr>
        <w:spacing w:after="120" w:line="276"/>
        <w:jc w:val="both"/>
      </w:pPr>
      <w:r>
        <w:rPr>
          <w:rFonts w:ascii="Calibri" w:cs="Calibri" w:eastAsia="Calibri" w:hAnsi="Calibri"/>
          <w:i w:val="false"/>
          <w:iCs w:val="false"/>
          <w:sz w:val="22"/>
          <w:szCs w:val="22"/>
        </w:rPr>
        <w:t xml:space="preserve">This project supplies the specific technique our dual-arm strategy is built on. The team assembled a doubly curved masonry vault of 338 glass bricks entirely without scaffolding or falsework, using a cooperative assembly method in which two industrial robots alternate between placement and support: each robot places one brick, then holds the structure while the other robot places the next, until a stable central arch is complete and the two can continue building outward individually. Parascho frames the justification in terms we adopt directly — the robot is used for what humans do badly, such as holding a three-kilogram brick motionless for seven minutes while adhesive cures.</w:t>
      </w:r>
    </w:p>
    <w:p>
      <w:pPr>
        <w:spacing w:after="120" w:line="276"/>
        <w:jc w:val="both"/>
      </w:pPr>
      <w:r>
        <w:rPr>
          <w:rFonts w:ascii="Calibri" w:cs="Calibri" w:eastAsia="Calibri" w:hAnsi="Calibri"/>
          <w:i w:val="false"/>
          <w:iCs w:val="false"/>
          <w:sz w:val="22"/>
          <w:szCs w:val="22"/>
        </w:rPr>
        <w:t xml:space="preserve">The project also reports the failure mode most relevant to us. Early full-scale attempts with glass bricks shattered, and analysis showed the robots themselves were deflecting under the weight of the arch, which forced the team to redesign the construction sequence to bound the maximum load any one robot had to hold. That result is precisely why our sequencer computes an explicit bracing pose and an expected reaction wrench for every supported placement, rather than treating structural support as a fixed posture — and why measuring the bracing arm's reaction force is one of our stated evaluation goals.</w:t>
      </w:r>
    </w:p>
    <w:p>
      <w:pPr>
        <w:spacing w:after="80"/>
      </w:pPr>
      <w:r>
        <w:rPr>
          <w:rFonts w:ascii="Calibri" w:cs="Calibri" w:eastAsia="Calibri" w:hAnsi="Calibri"/>
          <w:b/>
          <w:bCs/>
          <w:sz w:val="20"/>
          <w:szCs w:val="20"/>
        </w:rPr>
        <w:t xml:space="preserve">Source: </w:t>
      </w:r>
      <w:hyperlink w:history="1" r:id="rId5a94ozluon0kbkbmjyeme">
        <w:r>
          <w:rPr>
            <w:rStyle w:val="Hyperlink"/>
            <w:rFonts w:ascii="Calibri" w:cs="Calibri" w:eastAsia="Calibri" w:hAnsi="Calibri"/>
            <w:color w:val="0563C1"/>
            <w:sz w:val="20"/>
            <w:szCs w:val="20"/>
            <w:u w:val="single"/>
          </w:rPr>
          <w:t xml:space="preserve">https://soa.princeton.edu/content/professors-stefana-parascho-and-sigrid-adriaenssens-use-robots-build-beautiful-architecture-more-sustainably</w:t>
        </w:r>
      </w:hyperlink>
    </w:p>
    <w:p>
      <w:pPr>
        <w:spacing w:after="80"/>
      </w:pPr>
      <w:r>
        <w:rPr>
          <w:rFonts w:ascii="Calibri" w:cs="Calibri" w:eastAsia="Calibri" w:hAnsi="Calibri"/>
          <w:b/>
          <w:bCs/>
          <w:sz w:val="20"/>
          <w:szCs w:val="20"/>
        </w:rPr>
        <w:t xml:space="preserve">Paper: </w:t>
      </w:r>
      <w:hyperlink w:history="1" r:id="rIdbo9lsp9ed2sgrhj6i8vom">
        <w:r>
          <w:rPr>
            <w:rStyle w:val="Hyperlink"/>
            <w:rFonts w:ascii="Calibri" w:cs="Calibri" w:eastAsia="Calibri" w:hAnsi="Calibri"/>
            <w:color w:val="0563C1"/>
            <w:sz w:val="20"/>
            <w:szCs w:val="20"/>
            <w:u w:val="single"/>
          </w:rPr>
          <w:t xml:space="preserve">https://doi.org/10.1007/s41693-020-00041-w</w:t>
        </w:r>
      </w:hyperlink>
    </w:p>
    <w:p>
      <w:pPr>
        <w:pBdr>
          <w:top w:val="dashed" w:color="999999" w:sz="6"/>
          <w:bottom w:val="dashed" w:color="999999" w:sz="6"/>
          <w:left w:val="dashed" w:color="999999" w:sz="6"/>
          <w:right w:val="dashed" w:color="999999" w:sz="6"/>
        </w:pBdr>
        <w:spacing w:after="160" w:before="120"/>
        <w:jc w:val="center"/>
      </w:pPr>
      <w:r>
        <w:rPr>
          <w:rFonts w:ascii="Calibri" w:cs="Calibri" w:eastAsia="Calibri" w:hAnsi="Calibri"/>
          <w:i/>
          <w:iCs/>
          <w:color w:val="666666"/>
          <w:sz w:val="20"/>
          <w:szCs w:val="20"/>
        </w:rPr>
        <w:t xml:space="preserve">[ Figure 4 — Insert 1–2 images of LightVault (two robots supporting the central arch), with credit to Parascho / Han / Bruun. ]</w:t>
      </w:r>
    </w:p>
    <w:p>
      <w:pPr>
        <w:spacing w:after="120" w:before="240"/>
      </w:pPr>
      <w:r>
        <w:rPr>
          <w:rFonts w:ascii="Calibri" w:cs="Calibri" w:eastAsia="Calibri" w:hAnsi="Calibri"/>
          <w:b/>
          <w:bCs/>
          <w:sz w:val="24"/>
          <w:szCs w:val="24"/>
        </w:rPr>
        <w:t xml:space="preserve">References</w:t>
      </w:r>
    </w:p>
    <w:p>
      <w:pPr>
        <w:spacing w:after="100" w:line="264"/>
        <w:ind w:left="400" w:hanging="400"/>
      </w:pPr>
      <w:r>
        <w:rPr>
          <w:rFonts w:ascii="Calibri" w:cs="Calibri" w:eastAsia="Calibri" w:hAnsi="Calibri"/>
          <w:sz w:val="20"/>
          <w:szCs w:val="20"/>
        </w:rPr>
        <w:t xml:space="preserve">Bonwetsch, T., Kobel, D., Gramazio, F., &amp; Kohler, M. (2006). The Informed Wall: Applying Additive Digital Fabrication Techniques on Architecture. In ACADIA 2006: Synthetic Landscapes, Proceedings of the 25th Annual Conference of the Association for Computer Aided Design in Architecture (pp. 489–495). Louisville, KY.</w:t>
      </w:r>
    </w:p>
    <w:p>
      <w:pPr>
        <w:spacing w:after="100" w:line="264"/>
        <w:ind w:left="400" w:hanging="400"/>
      </w:pPr>
      <w:r>
        <w:rPr>
          <w:rFonts w:ascii="Calibri" w:cs="Calibri" w:eastAsia="Calibri" w:hAnsi="Calibri"/>
          <w:sz w:val="20"/>
          <w:szCs w:val="20"/>
        </w:rPr>
        <w:t xml:space="preserve">Parascho, S., Han, I. X., Walker, S., Beghini, A., Bruun, E. P. G., &amp; Adriaenssens, S. (2020). Robotic vault: a cooperative robotic assembly method for brick vault construction. Construction Robotics, 4, 117–126. https://doi.org/10.1007/s41693-020-00041-w</w:t>
      </w:r>
    </w:p>
    <w:p>
      <w:pPr>
        <w:spacing w:after="100" w:line="264"/>
        <w:ind w:left="400" w:hanging="400"/>
      </w:pPr>
      <w:r>
        <w:rPr>
          <w:rFonts w:ascii="Calibri" w:cs="Calibri" w:eastAsia="Calibri" w:hAnsi="Calibri"/>
          <w:sz w:val="20"/>
          <w:szCs w:val="20"/>
        </w:rPr>
        <w:t xml:space="preserve">Thoma, A., Adel, A., Helmreich, M., Wehrle, T., Gramazio, F., &amp; Kohler, M. (2018). Robotic Fabrication of Bespoke Timber Frame Modules. In Robotic Fabrication in Architecture, Art and Design 2018 (pp. 447–458). Springer. https://doi.org/10.1007/978-3-319-92294-2_34</w:t>
      </w:r>
    </w:p>
    <w:p>
      <w:pPr>
        <w:spacing w:after="100" w:line="264"/>
        <w:ind w:left="400" w:hanging="400"/>
      </w:pPr>
      <w:r>
        <w:rPr>
          <w:rFonts w:ascii="Calibri" w:cs="Calibri" w:eastAsia="Calibri" w:hAnsi="Calibri"/>
          <w:sz w:val="20"/>
          <w:szCs w:val="20"/>
        </w:rPr>
        <w:t xml:space="preserve">Luo, S.-J., Yue, Y., Huang, C.-K., Chung, Y.-H., Imai, S., Nishita, T., &amp; Chen, B.-Y. (2015). Legolization: Optimizing LEGO Designs. ACM Transactions on Graphics, 34(6), Article 222. https://doi.org/10.1145/2816795.2818091</w:t>
      </w:r>
    </w:p>
    <w:p>
      <w:pPr>
        <w:spacing w:after="100" w:line="264"/>
        <w:ind w:left="400" w:hanging="400"/>
      </w:pPr>
      <w:r>
        <w:rPr>
          <w:rFonts w:ascii="Calibri" w:cs="Calibri" w:eastAsia="Calibri" w:hAnsi="Calibri"/>
          <w:sz w:val="20"/>
          <w:szCs w:val="20"/>
        </w:rPr>
        <w:t xml:space="preserve">Liu, R., Deng, K., Wang, Z., &amp; Liu, C. (2024). StableLego: Stability Analysis of Block Stacking Assembly. IEEE Robotics and Automation Letters, 9(11), 9383–9390. https://doi.org/10.1109/LRA.2024.3414281</w:t>
      </w:r>
    </w:p>
    <w:p>
      <w:pPr>
        <w:spacing w:after="100" w:line="264"/>
        <w:ind w:left="400" w:hanging="400"/>
      </w:pPr>
      <w:r>
        <w:rPr>
          <w:rFonts w:ascii="Calibri" w:cs="Calibri" w:eastAsia="Calibri" w:hAnsi="Calibri"/>
          <w:sz w:val="20"/>
          <w:szCs w:val="20"/>
        </w:rPr>
        <w:t xml:space="preserve">Tang, B., Lin, M. A., Akinola, I., Handa, A., Sukhatme, G. S., Ramos, F., Fox, D., &amp; Narang, Y. (2023). IndustReal: Transferring Contact-Rich Assembly Tasks from Simulation to Reality. In Proceedings of Robotics: Science and Systems (RSS). https://doi.org/10.48550/arXiv.2305.17110</w:t>
      </w:r>
    </w:p>
    <w:p>
      <w:pPr>
        <w:spacing w:after="100" w:line="264"/>
        <w:ind w:left="400" w:hanging="400"/>
      </w:pPr>
      <w:r>
        <w:rPr>
          <w:rFonts w:ascii="Calibri" w:cs="Calibri" w:eastAsia="Calibri" w:hAnsi="Calibri"/>
          <w:sz w:val="20"/>
          <w:szCs w:val="20"/>
        </w:rPr>
        <w:t xml:space="preserve">Noseworthy, M., Tang, B., Wen, B., Handa, A., Roy, N., Fox, D., Ramos, F., Narang, Y., &amp; Akinola, I. (2025). FORGE: Force-Guided Exploration for Robust Contact-Rich Manipulation under Uncertainty. IEEE Robotics and Automation Letters. https://doi.org/10.1109/LRA.2025.3551637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pet7udexgp0m1yfdy0tx" Type="http://schemas.openxmlformats.org/officeDocument/2006/relationships/hyperlink" Target="https://gramaziokohler.arch.ethz.ch/web/e/lehre/81.html" TargetMode="External"/><Relationship Id="rId5a94ozluon0kbkbmjyeme" Type="http://schemas.openxmlformats.org/officeDocument/2006/relationships/hyperlink" Target="https://soa.princeton.edu/content/professors-stefana-parascho-and-sigrid-adriaenssens-use-robots-build-beautiful-architecture-more-sustainably" TargetMode="External"/><Relationship Id="rIdbo9lsp9ed2sgrhj6i8vom" Type="http://schemas.openxmlformats.org/officeDocument/2006/relationships/hyperlink" Target="https://doi.org/10.1007/s41693-020-00041-w"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2026-09-15T09:57:23.854Z</dcterms:created>
  <dcterms:modified xsi:type="dcterms:W3CDTF">2026-09-15T09:57:23.865Z</dcterms:modified>
</cp:coreProperties>
</file>

<file path=docProps/custom.xml><?xml version="1.0" encoding="utf-8"?>
<Properties xmlns="http://schemas.openxmlformats.org/officeDocument/2006/custom-properties" xmlns:vt="http://schemas.openxmlformats.org/officeDocument/2006/docPropsVTypes"/>
</file>