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 w:after="300"/>
      </w:pPr>
      <w:r>
        <w:rPr>
          <w:rFonts w:ascii="Heiti SC" w:hAnsi="Heiti SC" w:eastAsia="Heiti SC"/>
          <w:b/>
          <w:color w:val="000000"/>
          <w:sz w:val="84"/>
        </w:rPr>
        <w:t>SmartFactory</w:t>
      </w:r>
    </w:p>
    <w:p>
      <w:pPr>
        <w:pStyle w:val="Subtitle"/>
        <w:spacing w:after="240"/>
      </w:pPr>
      <w:r>
        <w:rPr>
          <w:rFonts w:ascii="Heiti SC" w:hAnsi="Heiti SC" w:eastAsia="Heiti SC"/>
          <w:b/>
          <w:color w:val="000000"/>
          <w:sz w:val="54"/>
        </w:rPr>
        <w:t>产品白皮书</w:t>
      </w:r>
    </w:p>
    <w:p>
      <w:pPr>
        <w:spacing w:after="440"/>
      </w:pPr>
      <w:r>
        <w:rPr>
          <w:rFonts w:ascii="Heiti SC" w:hAnsi="Heiti SC" w:eastAsia="Heiti SC"/>
          <w:color w:val="000000"/>
          <w:sz w:val="32"/>
        </w:rPr>
        <w:t>工业现场数据与业务协作平台</w:t>
      </w:r>
    </w:p>
    <w:p>
      <w:r>
        <w:rPr>
          <w:rFonts w:ascii="Heiti SC" w:hAnsi="Heiti SC" w:eastAsia="Heiti SC"/>
          <w:color w:val="000000"/>
        </w:rPr>
        <w:t>SmartFactory 将设备采集、现场规则和人员协作组织在同一套业务流程中。使用者可以沿着设备观测追踪分析结果、告警处置、控制审批、设备反馈与工单交接，并在规则变更、通信中断或程序更新后继续核对原有记录。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44768" cy="3840480"/>
            <wp:docPr id="1" name="Picture 1" descr="云端运行概览  五场景示例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-l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eiti SC" w:hAnsi="Heiti SC" w:eastAsia="Heiti SC"/>
          <w:color w:val="000000"/>
        </w:rPr>
        <w:t>云端运行概览  五场景示例数据</w:t>
      </w:r>
    </w:p>
    <w:p>
      <w:pPr>
        <w:spacing w:before="240"/>
      </w:pPr>
      <w:r>
        <w:rPr>
          <w:rFonts w:ascii="Heiti SC" w:hAnsi="Heiti SC" w:eastAsia="Heiti SC"/>
          <w:color w:val="4B4B4B"/>
          <w:sz w:val="21"/>
        </w:rPr>
        <w:t>产品版本 1.1.0    2026 年 10 月</w:t>
      </w:r>
    </w:p>
    <w:p>
      <w:pPr>
        <w:pStyle w:val="Heading1"/>
        <w:pageBreakBefore/>
      </w:pPr>
      <w:r>
        <w:t>产品定位与应用场景</w:t>
      </w:r>
    </w:p>
    <w:p>
      <w:r>
        <w:rPr>
          <w:rFonts w:ascii="Heiti SC" w:hAnsi="Heiti SC" w:eastAsia="Heiti SC"/>
          <w:color w:val="000000"/>
        </w:rPr>
        <w:t>工业现场需要同时处理不同协议的设备、持续变化的测点数据和跨岗位的处置工作。SmartFactory 面向这类工作提供统一设备标识、数据质量记录、规则版本和业务状态，使工程师、现场操作人员与管理人员能够围绕同一设备、同一次异常和同一份执行记录开展工作。</w:t>
      </w:r>
    </w:p>
    <w:p>
      <w:r>
        <w:rPr>
          <w:rFonts w:ascii="Heiti SC" w:hAnsi="Heiti SC" w:eastAsia="Heiti SC"/>
          <w:color w:val="000000"/>
        </w:rPr>
        <w:t>产品由云端控制台、现场工作台和管理大屏组成。云端维护全厂视图、人员与发布，现场服务就近采集和执行已发布规则，大屏按权限展示指标、趋势与来源状态；设备通过所属边缘节点进入平台，现场工作持续保留操作与反馈依据。</w:t>
      </w:r>
    </w:p>
    <w:p>
      <w:pPr>
        <w:pStyle w:val="Heading2"/>
      </w:pPr>
      <w:r>
        <w:t>五类工厂场景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3571"/>
        <w:gridCol w:w="4651"/>
      </w:tblGrid>
      <w:tr>
        <w:trPr>
          <w:cantSplit/>
          <w:tblHeader/>
        </w:trPr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应用场景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观测与判断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业务结果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温湿度与通风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温度、湿度、上下限与回差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环境分析、异常告警，以及通风和温湿度调节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红外照明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人员存在、持续时间与延时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有人点亮，无人持续达到条件后关闭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危气监测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烟雾、可燃气体与一氧化碳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分别判断告警条件并执行排风预案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AGV 避障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距离、数据有效性与物理联锁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障碍停车，满足恢复条件后继续运行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货物计数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脉冲事件和稳定事件身份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去除重复事件，保存有效累计计数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使用者与工作方式</w:t>
      </w:r>
    </w:p>
    <w:p>
      <w:r>
        <w:rPr>
          <w:rFonts w:ascii="Heiti SC" w:hAnsi="Heiti SC" w:eastAsia="Heiti SC"/>
          <w:color w:val="000000"/>
        </w:rPr>
        <w:t>工程师维护设备参数和规则，利用连续模拟及历史比较检查变更；现场人员核对设备、审批条件与实际反馈，并记录处理过程；管理人员通过全厂视图查看异常、责任归属和后续工作。权限随人员角色、组织关系、资源范围及当前业务状态共同计算。</w:t>
      </w:r>
    </w:p>
    <w:p>
      <w:r>
        <w:rPr>
          <w:rFonts w:ascii="Heiti SC" w:hAnsi="Heiti SC" w:eastAsia="Heiti SC"/>
          <w:color w:val="000000"/>
        </w:rPr>
        <w:t>场景模板预先组织协议、测点、动作和规则关系。使用者绑定现场设备及连接器后生成草稿，在评审中确认参数和影响，随后采用新的规则版本；同类设备可以沿用模板结构，再按工艺条件调整具体参数。</w:t>
      </w:r>
    </w:p>
    <w:p>
      <w:pPr>
        <w:pStyle w:val="Heading1"/>
        <w:pageBreakBefore/>
      </w:pPr>
      <w:r>
        <w:t>系统架构与技术组成</w:t>
      </w:r>
    </w:p>
    <w:p>
      <w:r>
        <w:rPr>
          <w:rFonts w:ascii="Heiti SC" w:hAnsi="Heiti SC" w:eastAsia="Heiti SC"/>
          <w:color w:val="000000"/>
        </w:rPr>
        <w:t>SmartFactory 采用云端与边缘协同的部署结构。DataTransfer 负责协议设备，边缘业务服务保存现场观测、计算与控制，云端维护全厂业务和人员，配置中心按独立程序身份提供参数与密钥引用。每个部署实例使用自己的持久数据和运行身份。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7027"/>
      </w:tblGrid>
      <w:tr>
        <w:trPr>
          <w:cantSplit/>
          <w:tblHeader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承担的工作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DataTransfer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Modbus TCP、MQTT、OPC UA 采集，统一观测、缓冲确认及命令结果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sf-edge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设备准入、现场规则、控制状态、离线授权与云边同步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sf-cloud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全厂查询、定义评审、业务处置、人员管理及发布协调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sf-config 与发布代理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身份校验、固定配置分发、工件核验、进程切换与运行报告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ThingsBoard CE 与 Edge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原生实体、遥测、规则链和告警投影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PostgreSQL 与 Kafka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业务及原生数据库持久化，以及原生平台消息服务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NATS JetStream 与 Envoy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多节点执行权和签名检查点，以及浏览器 HTTPS 转发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独立前端</w:t>
            </w:r>
          </w:p>
        </w:tc>
        <w:tc>
          <w:tcPr>
            <w:tcW w:type="dxa" w:w="70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云端、现场、大屏页面和类型化业务 API 客户端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观测与控制的处理过程</w:t>
      </w:r>
    </w:p>
    <w:p>
      <w:r>
        <w:rPr>
          <w:rFonts w:ascii="Heiti SC" w:hAnsi="Heiti SC" w:eastAsia="Heiti SC"/>
          <w:color w:val="000000"/>
        </w:rPr>
        <w:t>设备观测进入 DataTransfer 后形成统一字段，边缘业务桥检查设备批准状态、节点归属及配置版本，再保存观测和投递记录。计算服务采用发布时编译的计划生成分析结果、告警或预案意图，现场控制继续检查人员许可、条件和设备反馈。</w:t>
      </w:r>
    </w:p>
    <w:p>
      <w:r>
        <w:rPr>
          <w:rFonts w:ascii="Heiti SC" w:hAnsi="Heiti SC" w:eastAsia="Heiti SC"/>
          <w:color w:val="000000"/>
        </w:rPr>
        <w:t>云边通信通过双向 TLS 认证节点，使用持久消息身份、确认和游标交换数据与业务资料。业务更新将对象、审计和后续投递事项放在对应事务中保存，网络发送和原生平台投影在提交后继续处理。</w:t>
      </w:r>
    </w:p>
    <w:p>
      <w:pPr>
        <w:pStyle w:val="Heading2"/>
      </w:pPr>
      <w:r>
        <w:t>项目实现与开源组件</w:t>
      </w:r>
    </w:p>
    <w:p>
      <w:r>
        <w:rPr>
          <w:rFonts w:ascii="Heiti SC" w:hAnsi="Heiti SC" w:eastAsia="Heiti SC"/>
          <w:color w:val="000000"/>
        </w:rPr>
        <w:t>项目在 ThingsBoard CE／Edge 的原生能力上实现独立的工业业务服务、DataTransfer 采集程序和三套页面。风险会签、历史规则与资产版本、控制恢复、工单交接、AI 调查及固定发布由 SmartFactory 业务层维护，组件来源和许可随部署包提供。</w:t>
      </w:r>
    </w:p>
    <w:p>
      <w:pPr>
        <w:pStyle w:val="Heading1"/>
        <w:pageBreakBefore/>
      </w:pPr>
      <w:r>
        <w:t>设备采集与数据治理</w:t>
      </w:r>
    </w:p>
    <w:p>
      <w:r>
        <w:rPr>
          <w:rFonts w:ascii="Heiti SC" w:hAnsi="Heiti SC" w:eastAsia="Heiti SC"/>
          <w:color w:val="000000"/>
        </w:rPr>
        <w:t>设备接入以统一设备标识和所属节点为依据。现场人员核对协议地址、采样周期、测点与动作映射并批准设备，业务桥随后保存有效观测；参数编辑采用协议元数据生成表单，并保留扩展字段、已阅版本和实际采用回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5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8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采集与设备操作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Modbus TCP</w:t>
            </w:r>
          </w:p>
        </w:tc>
        <w:tc>
          <w:tcPr>
            <w:tcW w:type="dxa" w:w="8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寄存器与位字段映射、字节顺序、数据转换及反向编码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MQTT</w:t>
            </w:r>
          </w:p>
        </w:tc>
        <w:tc>
          <w:tcPr>
            <w:tcW w:type="dxa" w:w="8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主题与载荷映射、状态或事件采集，按动作映射发送命令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OPC UA</w:t>
            </w:r>
          </w:p>
        </w:tc>
        <w:tc>
          <w:tcPr>
            <w:tcW w:type="dxa" w:w="8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节点读取、订阅、方法调用，以及签名加密和证书配置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进程插件</w:t>
            </w:r>
          </w:p>
        </w:tc>
        <w:tc>
          <w:tcPr>
            <w:tcW w:type="dxa" w:w="8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通过独立进程扩展协议和外部系统，保存调用及失败状态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数值精度与质量语义</w:t>
      </w:r>
    </w:p>
    <w:p>
      <w:r>
        <w:rPr>
          <w:rFonts w:ascii="Heiti SC" w:hAnsi="Heiti SC" w:eastAsia="Heiti SC"/>
          <w:color w:val="000000"/>
        </w:rPr>
        <w:t>原始观测同时保存值、单位、质量、时间和来源。大整数及高精度数值在数据表、工具提示与导出中保留原值，图表坐标采用显示近似值；GOOD、BAD 和 UNCERTAIN 描述观测质量，温度超过工艺阈值时仍可具有有效质量，异常判断由告警规则承担。</w:t>
      </w:r>
    </w:p>
    <w:p>
      <w:r>
        <w:rPr>
          <w:rFonts w:ascii="Heiti SC" w:hAnsi="Heiti SC" w:eastAsia="Heiti SC"/>
          <w:color w:val="000000"/>
        </w:rPr>
        <w:t>查询结果一并展示已记录缺口、来源通信状态和补传进度，使用者可以据此判断某一时间范围的数据情况。服务端负责筛选与分页，完整导出沿同一查询快照读取后续页面，可恢复订阅继续追踪已提交的变化。</w:t>
      </w:r>
    </w:p>
    <w:p>
      <w:pPr>
        <w:pStyle w:val="Heading2"/>
      </w:pPr>
      <w:r>
        <w:t>保留策略与历史修订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98"/>
      </w:tblGrid>
      <w:tr>
        <w:trPr>
          <w:cantSplit/>
          <w:tblHeader/>
        </w:trPr>
        <w:tc>
          <w:tcPr>
            <w:tcW w:type="dxa" w:w="2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数据层级</w:t>
            </w:r>
          </w:p>
        </w:tc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默认保留时间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原始观测</w:t>
            </w:r>
          </w:p>
        </w:tc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30 天，其中最近 24 小时保留在热表，较早内容分块归档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分钟与小时汇总</w:t>
            </w:r>
          </w:p>
        </w:tc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分钟汇总 90 天，小时汇总 365 天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日汇总与告警</w:t>
            </w:r>
          </w:p>
        </w:tc>
        <w:tc>
          <w:tcPr>
            <w:tcW w:type="dxa" w:w="6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1095 天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r>
        <w:rPr>
          <w:rFonts w:ascii="Heiti SC" w:hAnsi="Heiti SC" w:eastAsia="Heiti SC"/>
          <w:color w:val="000000"/>
        </w:rPr>
        <w:t>热表和归档共用查询入口，保留期可通过配置调整。延迟观测在自动处理范围内按当时的规则和资产版本计算，修订记录保存前后值、原因和任务；历史补算沿分析与告警路径处理，设备动作由实时策略及控制流程执行。</w:t>
      </w:r>
    </w:p>
    <w:p>
      <w:pPr>
        <w:pStyle w:val="Heading1"/>
        <w:pageBreakBefore/>
      </w:pPr>
      <w:r>
        <w:t>规则编排与历史分析</w:t>
      </w:r>
    </w:p>
    <w:p>
      <w:r>
        <w:rPr>
          <w:rFonts w:ascii="Heiti SC" w:hAnsi="Heiti SC" w:eastAsia="Heiti SC"/>
          <w:color w:val="000000"/>
        </w:rPr>
        <w:t>数据分析、告警和联动预案共用定义结构，分别描述计算输出、异常判断和设备步骤。编辑器从节点目录读取参数类型、范围及单位，保存草稿后检查端口、依赖、表达式和循环关系；单份定义支持 1 至 128 个节点及最多 512 条连接。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93832" cy="3474720"/>
            <wp:docPr id="2" name="Picture 2" descr="可视化规则编辑器  一分钟平均温度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foc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3832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eiti SC" w:hAnsi="Heiti SC" w:eastAsia="Heiti SC"/>
          <w:color w:val="000000"/>
        </w:rPr>
        <w:t>可视化规则编辑器  一分钟平均温度示例</w:t>
      </w:r>
    </w:p>
    <w:p>
      <w:pPr>
        <w:pStyle w:val="Heading2"/>
      </w:pPr>
      <w:r>
        <w:t>连续模拟与语义评审</w:t>
      </w:r>
    </w:p>
    <w:p>
      <w:r>
        <w:rPr>
          <w:rFonts w:ascii="Heiti SC" w:hAnsi="Heiti SC" w:eastAsia="Heiti SC"/>
          <w:color w:val="000000"/>
        </w:rPr>
        <w:t>连续模拟使用正式计算内核，固定草稿修订、输入观测、历史、资产版本和逻辑时钟，逐条显示节点输入输出、状态变化和动作意图。使用者可导出复现文件，再通过语义评审检查节点、参数、控制政策及资源引用的变化。</w:t>
      </w:r>
    </w:p>
    <w:p>
      <w:pPr>
        <w:pStyle w:val="Heading2"/>
      </w:pPr>
      <w:r>
        <w:t>回放比较与后台恢复</w:t>
      </w:r>
    </w:p>
    <w:p>
      <w:r>
        <w:rPr>
          <w:rFonts w:ascii="Heiti SC" w:hAnsi="Heiti SC" w:eastAsia="Heiti SC"/>
          <w:color w:val="000000"/>
        </w:rPr>
        <w:t>历史回放采用已发布规则，两版本比较共享同一份输入和初始状态，影子候选将候选结果与对应正式结果配对。计算任务保存原业务身份、阶段和已提交游标，失败重试继续已有检查点，取消操作处理后续计算，已经提交的结果和解释继续保留。</w:t>
      </w:r>
    </w:p>
    <w:p>
      <w:r>
        <w:rPr>
          <w:rFonts w:ascii="Heiti SC" w:hAnsi="Heiti SC" w:eastAsia="Heiti SC"/>
          <w:color w:val="000000"/>
        </w:rPr>
        <w:t>规则发布保存新的生效版本和编译计划。已有执行实例继续使用创建时固定的预案，恢复历史规则内容则生成新的草稿，再完成模拟和评审，使每次采用都有明确的来源与记录。</w:t>
      </w:r>
    </w:p>
    <w:p>
      <w:pPr>
        <w:pStyle w:val="Heading1"/>
        <w:pageBreakBefore/>
      </w:pPr>
      <w:r>
        <w:t>控制审批与执行恢复</w:t>
      </w:r>
    </w:p>
    <w:p>
      <w:r>
        <w:rPr>
          <w:rFonts w:ascii="Heiti SC" w:hAnsi="Heiti SC" w:eastAsia="Heiti SC"/>
          <w:color w:val="000000"/>
        </w:rPr>
        <w:t>人工控制请求固定预案、参数和风险依据，符合角色与组织关系的人员完成会签后正式下发。系统在下发和各设备步骤前核对授权、审批有效期、现场条件及物理联锁，并将命令、反馈和人工处理保存在同一执行记录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9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控制类别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默认审批条件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普通即时控制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一名工程师及一名符合发起人组织关系的领导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业务强制执行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两名工程师及一名符合组织关系的领导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安全强制执行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完成强制会签，再由指定安全员在目标现场通过二次认证确认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r>
        <w:rPr>
          <w:rFonts w:ascii="Heiti SC" w:hAnsi="Heiti SC" w:eastAsia="Heiti SC"/>
          <w:color w:val="000000"/>
        </w:rPr>
        <w:t>每人在同一请求承担一个会签角色，默认会签及二次认证窗口均为五分钟，正式下发后的启动期限为十秒，具体数值由配置中心管理。参数、风险依据或人员许可发生变化时，系统按最新条件重新检查请求。</w:t>
      </w:r>
    </w:p>
    <w:p>
      <w:pPr>
        <w:pStyle w:val="Heading2"/>
      </w:pPr>
      <w:r>
        <w:t>结果未知时的核对过程</w:t>
      </w:r>
    </w:p>
    <w:p>
      <w:r>
        <w:rPr>
          <w:rFonts w:ascii="Heiti SC" w:hAnsi="Heiti SC" w:eastAsia="Heiti SC"/>
          <w:color w:val="000000"/>
        </w:rPr>
        <w:t>1. 打开执行详情，检查原命令、预案版本、设备步骤和当前允许操作，阅读已经保存的反馈来源。</w:t>
      </w:r>
    </w:p>
    <w:p>
      <w:r>
        <w:rPr>
          <w:rFonts w:ascii="Heiti SC" w:hAnsi="Heiti SC" w:eastAsia="Heiti SC"/>
          <w:color w:val="000000"/>
        </w:rPr>
        <w:t>2. 提交核对原命令结果的请求，记录操作理由，沿原请求身份追踪受理、开始与终止回执。</w:t>
      </w:r>
    </w:p>
    <w:p>
      <w:r>
        <w:rPr>
          <w:rFonts w:ascii="Heiti SC" w:hAnsi="Heiti SC" w:eastAsia="Heiti SC"/>
          <w:color w:val="000000"/>
        </w:rPr>
        <w:t>3. 结合观测时间、采集时间和设备状态确定已经完成的动作，满足条件后恢复剩余步骤。</w:t>
      </w:r>
    </w:p>
    <w:p>
      <w:r>
        <w:rPr>
          <w:rFonts w:ascii="Heiti SC" w:hAnsi="Heiti SC" w:eastAsia="Heiti SC"/>
          <w:color w:val="000000"/>
        </w:rPr>
        <w:t>4. 取消执行时停止后续步骤，已经发送的命令与迟到反馈继续关联到原执行记录。</w:t>
      </w:r>
    </w:p>
    <w:p>
      <w:pPr>
        <w:pStyle w:val="Heading2"/>
      </w:pPr>
      <w:r>
        <w:t>重复请求与多节点协作</w:t>
      </w:r>
    </w:p>
    <w:p>
      <w:r>
        <w:rPr>
          <w:rFonts w:ascii="Heiti SC" w:hAnsi="Heiti SC" w:eastAsia="Heiti SC"/>
          <w:color w:val="000000"/>
        </w:rPr>
        <w:t>控制请求使用稳定的下发身份，各设备步骤具有固定命令身份，DataTransfer 在发送前保存动作日志。同一身份和相同内容的重复请求取得已有状态，结果未知时继续核对原命令；相同身份携带不同内容时返回冲突，交由人员核对。</w:t>
      </w:r>
    </w:p>
    <w:p>
      <w:r>
        <w:rPr>
          <w:rFonts w:ascii="Heiti SC" w:hAnsi="Heiti SC" w:eastAsia="Heiti SC"/>
          <w:color w:val="000000"/>
        </w:rPr>
        <w:t>多节点预案通过 NATS 三副本保存执行权、代次和签名检查点。节点在规则、参与者或通信条件发生变化时，按预案配置进入本地降级步骤；恢复后结合检查点及实际设备效果继续处理。现场 PLC 与物理联锁仍按设备和工艺要求运行。</w:t>
      </w:r>
    </w:p>
    <w:p>
      <w:pPr>
        <w:pStyle w:val="Heading1"/>
        <w:pageBreakBefore/>
      </w:pPr>
      <w:r>
        <w:t>告警处置与工单交接</w:t>
      </w:r>
    </w:p>
    <w:p>
      <w:r>
        <w:rPr>
          <w:rFonts w:ascii="Heiti SC" w:hAnsi="Heiti SC" w:eastAsia="Heiti SC"/>
          <w:color w:val="000000"/>
        </w:rPr>
        <w:t>告警记录设备异常的发生和恢复周期，人工处置记录确认、责任人与处理状态。持续采样和人员操作分别维护业务版本，新的观测保持相同动作含义时，人员可以继续使用已阅依据；恢复、级别变化或人工处置改变条件后，系统要求重新核对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45936" cy="2887401"/>
            <wp:docPr id="3" name="Picture 3" descr="工单详情保存责任人  关联告警和处理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detail-foc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2887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eiti SC" w:hAnsi="Heiti SC" w:eastAsia="Heiti SC"/>
          <w:color w:val="000000"/>
        </w:rPr>
        <w:t>工单详情保存责任人  关联告警和处理记录</w:t>
      </w:r>
    </w:p>
    <w:p>
      <w:pPr>
        <w:pStyle w:val="Heading2"/>
      </w:pPr>
      <w:r>
        <w:t>责任转移与已阅依据</w:t>
      </w:r>
    </w:p>
    <w:p>
      <w:r>
        <w:rPr>
          <w:rFonts w:ascii="Heiti SC" w:hAnsi="Heiti SC" w:eastAsia="Heiti SC"/>
          <w:color w:val="000000"/>
        </w:rPr>
        <w:t>工单关联告警或控制执行，记录处理事项、责任人和进度。交接时，当前责任人或管理员指定新的责任人、说明未完成事项，并选择已经阅读的告警或执行依据；责任更新、交接请求、依据版本和审计一同保存。</w:t>
      </w:r>
    </w:p>
    <w:p>
      <w:r>
        <w:rPr>
          <w:rFonts w:ascii="Heiti SC" w:hAnsi="Heiti SC" w:eastAsia="Heiti SC"/>
          <w:color w:val="000000"/>
        </w:rPr>
        <w:t>新的责任人根据当前工单状态取得允许操作，前一责任人的操作范围随交接结果更新。发生版本冲突时，页面保留填写内容，使用者阅读最新状态后继续提交，避免在旧资料上完成责任转移。</w:t>
      </w:r>
    </w:p>
    <w:p>
      <w:pPr>
        <w:pStyle w:val="Heading2"/>
      </w:pPr>
      <w:r>
        <w:t>场景模板与批量准备</w:t>
      </w:r>
    </w:p>
    <w:p>
      <w:r>
        <w:rPr>
          <w:rFonts w:ascii="Heiti SC" w:hAnsi="Heiti SC" w:eastAsia="Heiti SC"/>
          <w:color w:val="000000"/>
        </w:rPr>
        <w:t>五类模板把协议、测点、动作和规则组织成可复用配置，一次准备支持 1 至 20 个场景实例。服务检查设备归属、连接器版本及操作许可，全部通过后在同一批次保存草稿与审计，后续按实例记录配置演进和发布采用情况。</w:t>
      </w:r>
    </w:p>
    <w:p>
      <w:pPr>
        <w:pStyle w:val="Heading1"/>
        <w:pageBreakBefore/>
      </w:pPr>
      <w:r>
        <w:t>AI 调查与外部系统协作</w:t>
      </w:r>
    </w:p>
    <w:p>
      <w:r>
        <w:rPr>
          <w:rFonts w:ascii="Heiti SC" w:hAnsi="Heiti SC" w:eastAsia="Heiti SC"/>
          <w:color w:val="000000"/>
        </w:rPr>
        <w:t>页面助手通过当前人员身份访问设备、数据、定义、执行与历史结果，帮助使用者定位异常的相关资料，并在具备草稿许可时编辑规则。外部 MCP 客户端调用同一应用服务，工具请求与页面操作采用一致的资源和业务许可。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提供给使用者的内容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数据与对象查询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发现目录、读取字段结构，按设备和时间范围查询数据及业务记录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实际调用依据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保存进入模型的工具 JSON、资源版本、内容摘要及调用状态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草稿协作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创建或修改分析、告警、联动草稿，执行校验、模拟及差异比较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持久调查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保存问题、答案、调用过程和终止状态，重新打开后继续查看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模型配置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支持 Chat Completions 与 Responses，按供应商 API 配置端点和模型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可追溯的调查过程</w:t>
      </w:r>
    </w:p>
    <w:p>
      <w:r>
        <w:rPr>
          <w:rFonts w:ascii="Heiti SC" w:hAnsi="Heiti SC" w:eastAsia="Heiti SC"/>
          <w:color w:val="000000"/>
        </w:rPr>
        <w:t>1. 使用者明确设备、测点、时间范围或规则问题，平台按当前身份建立独立调查。</w:t>
      </w:r>
    </w:p>
    <w:p>
      <w:r>
        <w:rPr>
          <w:rFonts w:ascii="Heiti SC" w:hAnsi="Heiti SC" w:eastAsia="Heiti SC"/>
          <w:color w:val="000000"/>
        </w:rPr>
        <w:t>2. 模型调用工具取得业务资料，系统记录实际发送的原文、来源版本及预算使用情况。</w:t>
      </w:r>
    </w:p>
    <w:p>
      <w:r>
        <w:rPr>
          <w:rFonts w:ascii="Heiti SC" w:hAnsi="Heiti SC" w:eastAsia="Heiti SC"/>
          <w:color w:val="000000"/>
        </w:rPr>
        <w:t>3. 使用者打开依据详情，核对引用与原对象，并结合本次调用结果阅读回答。</w:t>
      </w:r>
    </w:p>
    <w:p>
      <w:r>
        <w:rPr>
          <w:rFonts w:ascii="Heiti SC" w:hAnsi="Heiti SC" w:eastAsia="Heiti SC"/>
          <w:color w:val="000000"/>
        </w:rPr>
        <w:t>4. 涉及规则调整时保存草稿，由具备发布许可的人员完成模拟、评审与采用。</w:t>
      </w:r>
    </w:p>
    <w:p>
      <w:pPr>
        <w:pStyle w:val="Heading2"/>
      </w:pPr>
      <w:r>
        <w:t>权限与内容生命周期</w:t>
      </w:r>
    </w:p>
    <w:p>
      <w:r>
        <w:rPr>
          <w:rFonts w:ascii="Heiti SC" w:hAnsi="Heiti SC" w:eastAsia="Heiti SC"/>
          <w:color w:val="000000"/>
        </w:rPr>
        <w:t>引用在读取时重新检查当前授权。依据默认保留七天，过期、删除或失去资源许可后，服务清除相应原文、参数和受影响答案；单个工具结果预算为 512 KiB，敏感凭据在发送与保存前处理，调查保留审计所需的身份、时间和内容摘要。</w:t>
      </w:r>
    </w:p>
    <w:p>
      <w:pPr>
        <w:pStyle w:val="Heading2"/>
      </w:pPr>
      <w:r>
        <w:t>外部集成</w:t>
      </w:r>
    </w:p>
    <w:p>
      <w:r>
        <w:rPr>
          <w:rFonts w:ascii="Heiti SC" w:hAnsi="Heiti SC" w:eastAsia="Heiti SC"/>
          <w:color w:val="000000"/>
        </w:rPr>
        <w:t>公开 HTTP API 使用 /api/sf/v1，并提供 OpenAPI 3.1 和 JSON Schema。MCP 使用专用 AI 身份提供读取与草稿工具，组织数据可通过独立进程插件导入；现场设备协议、外部业务系统与 AI 客户端分别沿相应契约扩展。</w:t>
      </w:r>
    </w:p>
    <w:p>
      <w:pPr>
        <w:pStyle w:val="Heading1"/>
        <w:pageBreakBefore/>
      </w:pPr>
      <w:r>
        <w:t>节点配置与部署运维</w:t>
      </w:r>
    </w:p>
    <w:p>
      <w:r>
        <w:rPr>
          <w:rFonts w:ascii="Heiti SC" w:hAnsi="Heiti SC" w:eastAsia="Heiti SC"/>
          <w:color w:val="000000"/>
        </w:rPr>
        <w:t>节点发布将程序、规则、参数和连接器组成不可变清单，记录目标平台、内容摘要及数据库兼容条件。配置中心按工作负载身份提供固定内容，发布代理完成准备与核验后管理实际 Edge 子进程，云端根据运行报告推进后续批次。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发布对象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固定与核对内容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程序工件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应用版本、目标平台、文件摘要及兼容声明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规则与配置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来源版本、内容摘要、节点本地采用版本与密钥引用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节点身份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所属节点、工作负载类型、凭据代次及授权状态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批次进度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当前批次、目标节点、准备结果、运行报告及失败原因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分批运行与失败恢复</w:t>
      </w:r>
    </w:p>
    <w:p>
      <w:r>
        <w:rPr>
          <w:rFonts w:ascii="Heiti SC" w:hAnsi="Heiti SC" w:eastAsia="Heiti SC"/>
          <w:color w:val="000000"/>
        </w:rPr>
        <w:t>代理切换进程时保留原数据库和主密钥。协调器等待前一批次的有效运行报告，再允许下一批次继续；失败后的恢复沿原任务和经过授权的新代次进行，页面保留处理理由、来源版本和当前允许操作。程序回退涉及数据库兼容范围时，按配套备份恢复流程处理。</w:t>
      </w:r>
    </w:p>
    <w:p>
      <w:pPr>
        <w:pStyle w:val="Heading2"/>
      </w:pPr>
      <w:r>
        <w:t>部署与数据保护</w:t>
      </w:r>
    </w:p>
    <w:p>
      <w:r>
        <w:rPr>
          <w:rFonts w:ascii="Heiti SC" w:hAnsi="Heiti SC" w:eastAsia="Heiti SC"/>
          <w:color w:val="000000"/>
        </w:rPr>
        <w:t>持久部署采用 Linux x86_64、Docker Compose 和 PostgreSQL，提供单节点与三节点部署配置，并记录自托管或托管运维归属。三节点现场配置使用三个 NATS 副本，资源规划同时计入原生平台、业务数据库、消息服务、归档与备份。</w:t>
      </w:r>
    </w:p>
    <w:p>
      <w:r>
        <w:rPr>
          <w:rFonts w:ascii="Heiti SC" w:hAnsi="Heiti SC" w:eastAsia="Heiti SC"/>
          <w:color w:val="000000"/>
        </w:rPr>
        <w:t>安装工具为实例生成独立私有目录、随机凭据、客户 CA 和节点身份。完整备份保存业务及原生数据库、消息卷、采集状态、配置和密钥；保留原目录与数据卷的再次启动和全量恢复分别按照对应步骤执行。</w:t>
      </w:r>
    </w:p>
    <w:p>
      <w:pPr>
        <w:pStyle w:val="Heading2"/>
      </w:pPr>
      <w:r>
        <w:t>目标部署环境</w:t>
      </w:r>
    </w:p>
    <w:p>
      <w:r>
        <w:rPr>
          <w:rFonts w:ascii="Heiti SC" w:hAnsi="Heiti SC" w:eastAsia="Heiti SC"/>
          <w:color w:val="000000"/>
        </w:rPr>
        <w:t>当前发布包面向 Linux amd64。UOS Server V20 x86_64 是目标系统，完整安装恢复、单节点和三节点连续断云 24 小时、受限链路补传补算，以及实际 24 小时容量测量仍待在该目标环境执行，实施时据此确定容量和运行参数。</w:t>
      </w:r>
    </w:p>
    <w:p>
      <w:pPr>
        <w:pStyle w:val="Heading1"/>
        <w:pageBreakBefore/>
      </w:pPr>
      <w:r>
        <w:t>使用界面与现场演示</w:t>
      </w:r>
    </w:p>
    <w:p>
      <w:r>
        <w:rPr>
          <w:rFonts w:ascii="Heiti SC" w:hAnsi="Heiti SC" w:eastAsia="Heiti SC"/>
          <w:color w:val="000000"/>
        </w:rPr>
        <w:t>三套页面采用同一业务 API 和资源许可。云端控制台提供全厂查询与管理，现场工作台读取所属节点的数据和有效离线授权，大屏按配置展示指标、趋势和来源状态；页面中的数值可以继续追踪到数据记录及对应业务对象。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40096" cy="3337560"/>
            <wp:docPr id="4" name="Picture 4" descr="管理大屏  指标  趋势与现场来源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096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Heiti SC" w:hAnsi="Heiti SC" w:eastAsia="Heiti SC"/>
          <w:color w:val="000000"/>
        </w:rPr>
        <w:t>管理大屏  指标  趋势与现场来源状态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主要工作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云端控制台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设备与资产、分析编排、告警工单、历史调查和分批发布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现场工作台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设备批准、现场观测、控制确认、反馈核对及本地业务处理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管理大屏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集中查看指标、趋势、告警及来源通信与补传状态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温湿度场景演示流程</w:t>
      </w:r>
    </w:p>
    <w:p>
      <w:r>
        <w:rPr>
          <w:rFonts w:ascii="Heiti SC" w:hAnsi="Heiti SC" w:eastAsia="Heiti SC"/>
          <w:color w:val="000000"/>
        </w:rPr>
        <w:t>1. 在现场确认温湿度设备及连接器，查看测点数值、采样时间与质量。</w:t>
      </w:r>
    </w:p>
    <w:p>
      <w:r>
        <w:rPr>
          <w:rFonts w:ascii="Heiti SC" w:hAnsi="Heiti SC" w:eastAsia="Heiti SC"/>
          <w:color w:val="000000"/>
        </w:rPr>
        <w:t>2. 打开温度分析草稿，运行连续样本模拟，检查阈值、回差和节点解释，再完成规则评审。</w:t>
      </w:r>
    </w:p>
    <w:p>
      <w:r>
        <w:rPr>
          <w:rFonts w:ascii="Heiti SC" w:hAnsi="Heiti SC" w:eastAsia="Heiti SC"/>
          <w:color w:val="000000"/>
        </w:rPr>
        <w:t>3. 观察模拟设备触发告警，查看告警详情、责任人及关联工单，记录现场处理或交接事项。</w:t>
      </w:r>
    </w:p>
    <w:p>
      <w:r>
        <w:rPr>
          <w:rFonts w:ascii="Heiti SC" w:hAnsi="Heiti SC" w:eastAsia="Heiti SC"/>
          <w:color w:val="000000"/>
        </w:rPr>
        <w:t>4. 按预案完成控制审批，核对原命令与设备反馈，再从历史数据检查处理前后的变化。</w:t>
      </w:r>
    </w:p>
    <w:p>
      <w:r>
        <w:rPr>
          <w:rFonts w:ascii="Heiti SC" w:hAnsi="Heiti SC" w:eastAsia="Heiti SC"/>
          <w:color w:val="000000"/>
        </w:rPr>
        <w:t>本白皮书的页面配图来自应用实际界面，展示本机五场景示例或独立业务示例数据。</w:t>
      </w:r>
    </w:p>
    <w:p>
      <w:pPr>
        <w:pStyle w:val="Heading1"/>
        <w:pageBreakBefore/>
      </w:pPr>
      <w:r>
        <w:t>验证结果与测试条件</w:t>
      </w:r>
    </w:p>
    <w:p>
      <w:r>
        <w:rPr>
          <w:rFonts w:ascii="Heiti SC" w:hAnsi="Heiti SC" w:eastAsia="Heiti SC"/>
          <w:color w:val="000000"/>
        </w:rPr>
        <w:t>1.1 系列围绕规则、存储、持久任务、控制、业务协作、AI 与节点发布完成五阶段共 45 项功能验收。浏览器、数据库、协议及独立程序组合分别记录受测输入与运行条件，涉及共享调用的变更继续核对相关结果。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9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验证范围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已完成的结果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功能验收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45 项，覆盖五阶段业务能力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独立浏览器检查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39 项，覆盖参数、规则、告警工单、查询、AI 和节点发布等流程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Linux 包入口检查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55 项，包含独立 PostgreSQL、代理节点、实际 DataTransfer、缓存启动及原数据再次启动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协议与原生专项</w:t>
            </w:r>
          </w:p>
        </w:tc>
        <w:tc>
          <w:tcPr>
            <w:tcW w:type="dxa" w:w="7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OPC UA 签名加密、MQTT、进程插件、云边 mTLS、消息故障及原生组件配套恢复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设备采集性能基线</w:t>
      </w:r>
    </w:p>
    <w:p>
      <w:r>
        <w:rPr>
          <w:rFonts w:ascii="Heiti SC" w:hAnsi="Heiti SC" w:eastAsia="Heiti SC"/>
          <w:color w:val="000000"/>
        </w:rPr>
        <w:t>2026 年 9 月 20 日的独立 DataTransfer 测量在 macOS arm64、10 个逻辑 CPU 环境执行，采用 200 台 Modbus、200 台 MQTT 和 100 台 OPC UA 模拟设备，预热 60 秒后持续测量 60 分钟，每条消息包含一个测点。该记录对应当次采集程序构建，供后续目标环境测试比较。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538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测量指标</w:t>
            </w:r>
          </w:p>
        </w:tc>
        <w:tc>
          <w:tcPr>
            <w:tcW w:type="dxa" w:w="6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记录结果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累计输入与保存数量</w:t>
            </w:r>
          </w:p>
        </w:tc>
        <w:tc>
          <w:tcPr>
            <w:tcW w:type="dxa" w:w="6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均为 18,654,020 条单测点消息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平均处理速率</w:t>
            </w:r>
          </w:p>
        </w:tc>
        <w:tc>
          <w:tcPr>
            <w:tcW w:type="dxa" w:w="6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5,181.65 条单测点消息／秒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采集进程最大 RSS</w:t>
            </w:r>
          </w:p>
        </w:tc>
        <w:tc>
          <w:tcPr>
            <w:tcW w:type="dxa" w:w="6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58.50 MiB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控制延迟</w:t>
            </w:r>
          </w:p>
        </w:tc>
        <w:tc>
          <w:tcPr>
            <w:tcW w:type="dxa" w:w="6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1,000 次测量的 p99 为 18.584 ms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环境与持续时长</w:t>
      </w:r>
    </w:p>
    <w:p>
      <w:r>
        <w:rPr>
          <w:rFonts w:ascii="Heiti SC" w:hAnsi="Heiti SC" w:eastAsia="Heiti SC"/>
          <w:color w:val="000000"/>
        </w:rPr>
        <w:t>原生 CE／Edge 组合在 aarch64 Docker 主机上运行 linux/amd64 镜像，相关记录包含架构模拟、峰值资源和停止恢复情况。UOS 全系统安装恢复、24 小时断云及容量测量继续按目标环境专项执行；现场容量规划以部署组件、设备频率、保留时间和专项实测共同确定。</w:t>
      </w:r>
    </w:p>
    <w:p>
      <w:pPr>
        <w:pStyle w:val="Heading1"/>
        <w:pageBreakBefore/>
      </w:pPr>
      <w:r>
        <w:t>交付内容与技术资料</w:t>
      </w:r>
    </w:p>
    <w:p>
      <w:r>
        <w:rPr>
          <w:rFonts w:ascii="Heiti SC" w:hAnsi="Heiti SC" w:eastAsia="Heiti SC"/>
          <w:color w:val="000000"/>
        </w:rPr>
        <w:t>SmartFactory 1.1.0 提供 Linux amd64 程序归档及 SHA-256 校验文件，包内包括独立程序、三套前端、源码、接口契约、部署脚本、使用文档和组件许可。运行镜像按固定摘要另行准备，部署工具根据所选形态生成实例配置和身份资料。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70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技术组成</w:t>
            </w:r>
          </w:p>
        </w:tc>
        <w:tc>
          <w:tcPr>
            <w:tcW w:type="dxa" w:w="69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C4C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/>
                <w:color w:val="FFFFFF"/>
                <w:sz w:val="20"/>
              </w:rPr>
              <w:t>1.1 系列固定版本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ThingsBoard CE 与 Edge</w:t>
            </w:r>
          </w:p>
        </w:tc>
        <w:tc>
          <w:tcPr>
            <w:tcW w:type="dxa" w:w="69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4.3.1.6 ／ 4.3.1.6EDGE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数据库与消息</w:t>
            </w:r>
          </w:p>
        </w:tc>
        <w:tc>
          <w:tcPr>
            <w:tcW w:type="dxa" w:w="69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PostgreSQL 18.6、Kafka 4.3.1、NATS 2.14.7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服务转发</w:t>
            </w:r>
          </w:p>
        </w:tc>
        <w:tc>
          <w:tcPr>
            <w:tcW w:type="dxa" w:w="69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Envoy 1.39.1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前端</w:t>
            </w:r>
          </w:p>
        </w:tc>
        <w:tc>
          <w:tcPr>
            <w:tcW w:type="dxa" w:w="69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7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React 19.2.5、Vite 8.1.5、ECharts 6.1.0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构建工具</w:t>
            </w:r>
          </w:p>
        </w:tc>
        <w:tc>
          <w:tcPr>
            <w:tcW w:type="dxa" w:w="69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78" w:lineRule="auto"/>
            </w:pPr>
            <w:r>
              <w:rPr>
                <w:rFonts w:ascii="Heiti SC" w:hAnsi="Heiti SC" w:eastAsia="Heiti SC"/>
                <w:b w:val="0"/>
                <w:color w:val="000000"/>
                <w:sz w:val="20"/>
              </w:rPr>
              <w:t>Go 1.27.1、Node.js 24.21.0</w:t>
            </w:r>
          </w:p>
        </w:tc>
      </w:tr>
    </w:tbl>
    <w:p>
      <w:pPr>
        <w:spacing w:after="40" w:before="0" w:line="240" w:lineRule="auto"/>
      </w:pPr>
      <w:r>
        <w:rPr>
          <w:rFonts w:ascii="Heiti SC" w:hAnsi="Heiti SC" w:eastAsia="Heiti SC"/>
          <w:color w:val="000000"/>
          <w:sz w:val="2"/>
        </w:rPr>
      </w:r>
    </w:p>
    <w:p>
      <w:pPr>
        <w:pStyle w:val="Heading2"/>
      </w:pPr>
      <w:r>
        <w:t>资料与版本来源</w:t>
      </w:r>
    </w:p>
    <w:p>
      <w:r>
        <w:rPr>
          <w:rFonts w:ascii="Heiti SC" w:hAnsi="Heiti SC" w:eastAsia="Heiti SC"/>
          <w:color w:val="000000"/>
        </w:rPr>
        <w:t>产品使用、技术实现与验证范围可以从下列资料继续查询。源码中的部署清单、API 契约和组件来源记录与版本包配套保存，开源组件保留原有来源和许可说明。</w:t>
      </w:r>
    </w:p>
    <w:p>
      <w:pPr>
        <w:spacing w:after="120"/>
      </w:pPr>
      <w:hyperlink r:id="rId14">
        <w:r>
          <w:rPr>
            <w:rFonts w:ascii="Heiti SC" w:hAnsi="Heiti SC" w:eastAsia="Heiti SC"/>
            <w:color w:val="176B66"/>
            <w:sz w:val="20"/>
          </w:rPr>
          <w:t>SmartFactory 1.1.0 程序与校验文件</w:t>
        </w:r>
      </w:hyperlink>
    </w:p>
    <w:p>
      <w:pPr>
        <w:spacing w:after="120"/>
      </w:pPr>
      <w:hyperlink r:id="rId15">
        <w:r>
          <w:rPr>
            <w:rFonts w:ascii="Heiti SC" w:hAnsi="Heiti SC" w:eastAsia="Heiti SC"/>
            <w:color w:val="176B66"/>
            <w:sz w:val="20"/>
          </w:rPr>
          <w:t>产品使用文档与五场景教程</w:t>
        </w:r>
      </w:hyperlink>
    </w:p>
    <w:p>
      <w:pPr>
        <w:spacing w:after="120"/>
      </w:pPr>
      <w:hyperlink r:id="rId16">
        <w:r>
          <w:rPr>
            <w:rFonts w:ascii="Heiti SC" w:hAnsi="Heiti SC" w:eastAsia="Heiti SC"/>
            <w:color w:val="176B66"/>
            <w:sz w:val="20"/>
          </w:rPr>
          <w:t>系统架构与服务职责</w:t>
        </w:r>
      </w:hyperlink>
    </w:p>
    <w:p>
      <w:pPr>
        <w:spacing w:after="120"/>
      </w:pPr>
      <w:hyperlink r:id="rId17">
        <w:r>
          <w:rPr>
            <w:rFonts w:ascii="Heiti SC" w:hAnsi="Heiti SC" w:eastAsia="Heiti SC"/>
            <w:color w:val="176B66"/>
            <w:sz w:val="20"/>
          </w:rPr>
          <w:t>规则编排与连续模拟</w:t>
        </w:r>
      </w:hyperlink>
    </w:p>
    <w:p>
      <w:pPr>
        <w:spacing w:after="120"/>
      </w:pPr>
      <w:hyperlink r:id="rId18">
        <w:r>
          <w:rPr>
            <w:rFonts w:ascii="Heiti SC" w:hAnsi="Heiti SC" w:eastAsia="Heiti SC"/>
            <w:color w:val="176B66"/>
            <w:sz w:val="20"/>
          </w:rPr>
          <w:t>1.1 版本能力与验证范围</w:t>
        </w:r>
      </w:hyperlink>
    </w:p>
    <w:p>
      <w:pPr>
        <w:spacing w:after="120"/>
      </w:pPr>
      <w:hyperlink r:id="rId19">
        <w:r>
          <w:rPr>
            <w:rFonts w:ascii="Heiti SC" w:hAnsi="Heiti SC" w:eastAsia="Heiti SC"/>
            <w:color w:val="176B66"/>
            <w:sz w:val="20"/>
          </w:rPr>
          <w:t>设备采集测量记录（2026-09-20）</w:t>
        </w:r>
      </w:hyperlink>
    </w:p>
    <w:p>
      <w:pPr>
        <w:spacing w:after="120"/>
      </w:pPr>
      <w:hyperlink r:id="rId20">
        <w:r>
          <w:rPr>
            <w:rFonts w:ascii="Heiti SC" w:hAnsi="Heiti SC" w:eastAsia="Heiti SC"/>
            <w:color w:val="176B66"/>
            <w:sz w:val="20"/>
          </w:rPr>
          <w:t>API 契约与外部集成</w:t>
        </w:r>
      </w:hyperlink>
    </w:p>
    <w:p>
      <w:pPr>
        <w:spacing w:after="120"/>
      </w:pPr>
      <w:hyperlink r:id="rId21">
        <w:r>
          <w:rPr>
            <w:rFonts w:ascii="Heiti SC" w:hAnsi="Heiti SC" w:eastAsia="Heiti SC"/>
            <w:color w:val="176B66"/>
            <w:sz w:val="20"/>
          </w:rPr>
          <w:t>组件来源和许可材料</w:t>
        </w:r>
      </w:hyperlink>
    </w:p>
    <w:p>
      <w:pPr>
        <w:pStyle w:val="Heading2"/>
      </w:pPr>
      <w:r>
        <w:t>持续扩展方式</w:t>
      </w:r>
    </w:p>
    <w:p>
      <w:r>
        <w:rPr>
          <w:rFonts w:ascii="Heiti SC" w:hAnsi="Heiti SC" w:eastAsia="Heiti SC"/>
          <w:color w:val="000000"/>
        </w:rPr>
        <w:t>新增设备可沿协议连接器与测点动作映射扩展，新的工艺场景可组合分析、告警和联动定义，外部系统通过公开 API、MCP 或进程插件协作。设备、规则、业务记录与运行版本共同保留来源，为工厂逐步增加场景和维护人员协作提供可追踪的基础。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36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66666"/>
        <w:sz w:val="17"/>
      </w:rPr>
      <w:t xml:space="preserve">SmartFactory 产品白皮书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40" w:before="0"/>
    </w:pPr>
    <w:rPr>
      <w:rFonts w:ascii="Heiti SC" w:hAnsi="Heiti SC" w:eastAsia="Heiti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60"/>
      <w:outlineLvl w:val="0"/>
    </w:pPr>
    <w:rPr>
      <w:rFonts w:ascii="Heiti SC" w:hAnsi="Heiti SC" w:eastAsia="Heiti SC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="Heiti SC" w:hAnsi="Heiti SC" w:eastAsia="Heiti SC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/>
      <w:outlineLvl w:val="2"/>
    </w:pPr>
    <w:rPr>
      <w:rFonts w:ascii="Heiti SC" w:hAnsi="Heiti SC" w:eastAsia="Heiti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ascii="Heiti SC" w:hAnsi="Heiti SC" w:eastAsia="Heiti SC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Heiti SC" w:hAnsi="Heiti SC" w:eastAsia="Heiti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80" w:after="180"/>
    </w:pPr>
    <w:rPr>
      <w:rFonts w:ascii="Heiti SC" w:hAnsi="Heiti SC" w:eastAsia="Heiti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github.com/Sakirina/SmartFactory-2026/releases/tag/v1.1.0" TargetMode="External"/><Relationship Id="rId15" Type="http://schemas.openxmlformats.org/officeDocument/2006/relationships/hyperlink" Target="https://github.com/Sakirina/SmartFactory-2026/blob/v1.1.0/Wiki/README.md" TargetMode="External"/><Relationship Id="rId16" Type="http://schemas.openxmlformats.org/officeDocument/2006/relationships/hyperlink" Target="https://github.com/Sakirina/SmartFactory-2026/blob/v1.1.0/Wiki/architecture/overview.md" TargetMode="External"/><Relationship Id="rId17" Type="http://schemas.openxmlformats.org/officeDocument/2006/relationships/hyperlink" Target="https://github.com/Sakirina/SmartFactory-2026/blob/v1.1.0/Wiki/user-guide/definitions.md" TargetMode="External"/><Relationship Id="rId18" Type="http://schemas.openxmlformats.org/officeDocument/2006/relationships/hyperlink" Target="https://github.com/Sakirina/SmartFactory-2026/blob/v1.1.0/Wiki/releases/1.1.md" TargetMode="External"/><Relationship Id="rId19" Type="http://schemas.openxmlformats.org/officeDocument/2006/relationships/hyperlink" Target="https://github.com/Sakirina/SmartFactory-2026/blob/v1.1.0/docs/evidence/capacity-disk-60m.json" TargetMode="External"/><Relationship Id="rId20" Type="http://schemas.openxmlformats.org/officeDocument/2006/relationships/hyperlink" Target="https://github.com/Sakirina/SmartFactory-2026/blob/v1.1.0/Wiki/api/rest.md" TargetMode="External"/><Relationship Id="rId21" Type="http://schemas.openxmlformats.org/officeDocument/2006/relationships/hyperlink" Target="https://github.com/Sakirina/SmartFactory-2026/blob/v1.1.0/deploy/license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SmartFactory 产品白皮书</dc:title>
  <dc:subject>工业现场数据与业务协作平台</dc:subject>
  <dc:creator>SmartFactory</dc:creator>
  <cp:keywords>SmartFactory,工业物联网,云边协同,设备采集,规则编排</cp:keywords>
  <dc:description/>
  <cp:lastModifiedBy>SmartFactory</cp:lastModifiedBy>
  <cp:revision>1</cp:revision>
  <dcterms:created xsi:type="dcterms:W3CDTF">2026-10-07T00:00:00Z</dcterms:created>
  <dcterms:modified xsi:type="dcterms:W3CDTF">2026-10-07T00:00:00Z</dcterms:modified>
  <cp:category/>
</cp:coreProperties>
</file>