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b w:val="false"/>
        </w:rPr>
      </w:pPr>
      <w:bookmarkStart w:id="0" w:name="docs-internal-guid-8e2e49fd-7fff-56ed-4c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EC2 (Elastic Compute Cloud)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Technical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-Resizable compute capacity in the cloud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-99.99% availability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-Each region has at least 3 availability zones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-275 typs of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-Can hibernate EC2 instance (uses EBS and billed at EBS rates). Persists RAM. Applications that take awhile to bootstrap or persist state into memory benefit from this.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-Customers requiring massive floating point power will benefit from GPU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-Customers requiring high graphics capabilities will benefit from GPU Graphic instances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-Scalable computing capacity in the cloud.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-No need to invest in hardware upfront so develop and deploy applications faster.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-Scale up or down reducing need to forecast traffic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-AMI (Amazon Machine Image) preconfigured templates that package up what you need for a server including OS and additional software.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-Instance Types configurations of CPU, memory, storage, and networking capacity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-Secure login via Key Pairs AWS stores the public, you keep the private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-Instance Store Volumes temporary data that's deleted when you stop, hibernate, or terminate an instance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-Elastic Block Store (EBS) volumes for persisting data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-Regions and availability zones for both instances and EBS volumes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-Security Groups firewalls that allows you to control protocols, ports, and IP ranges that can reach your instance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-Static IPV4 addresses for dynamic cloud computing known as Elastic IP address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CDC8C0"/>
          <w:sz w:val="24"/>
          <w:u w:val="none"/>
          <w:effect w:val="none"/>
        </w:rPr>
        <w:t>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-Manage with AWS Console in web or via CLI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-Can use AWS Cloud Formation, use templates to launch resources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-Supports Query API GET and POST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Payment: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-On-Demand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Pay by the hour, no long term commitments or up front costs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-Savings Plan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Reduced cost by committing to a consistent usage amount, paid per hour in 1 or 3 years terms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Security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-Lockdown security model prevents administrative access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-AWS Nitro offloads EC2 hardware functions to dedicated areas reducing attack surface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-Supports 89 security standards including CI-DSS, HIPAA/HITECH, FedRAMP, GDPR, FIPS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140-2, and NIST 800-171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Billing: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-On-Demand: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-Pay for compute capacity by the hour or second.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-Applications with short term or spikey or unpredictable workloads that can’t be interupted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-Spot Instances: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-Request spare capacity at up to 90% off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-Applications that have flexible start and stop times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-Apps that are only feasible at very low compute prices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-Users with urgent needs for large amounts of additional capacity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Savings Plans: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-Lower pricing model in exchange for a committment of consistent amount of usage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Reserved Instances: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-Discount on price by paying up front, reserves a specific availability zone instance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Dedicated Hosts: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 Physical server dedicated for your use. Can help reduce costs by allowing you to use your existing server-bound software licenses, including Windows Server, SQL Server, SUSE Linux Enterprise server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424</Words>
  <Characters>2374</Characters>
  <CharactersWithSpaces>2759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2021-04-21T22:39:01Z</dcterms:created>
  <dc:creator/>
  <dc:description/>
  <dc:language>en-US</dc:language>
  <cp:lastModifiedBy/>
  <dcterms:modified xsi:type="dcterms:W3CDTF">2021-04-21T22:41:22Z</dcterms:modified>
  <cp:revision>1</cp:revision>
  <dc:subject/>
  <dc:title/>
</cp:coreProperties>
</file>