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37F" w:rsidRPr="00BA45EC" w:rsidRDefault="00BA45EC" w:rsidP="00BA45EC">
      <w:pPr>
        <w:pStyle w:val="1"/>
      </w:pPr>
      <w:bookmarkStart w:id="0" w:name="_GoBack"/>
      <w:bookmarkEnd w:id="0"/>
      <w:r>
        <w:t xml:space="preserve">Русское описание </w:t>
      </w:r>
      <w:r>
        <w:rPr>
          <w:lang w:val="en-US"/>
        </w:rPr>
        <w:t>AAPCS</w:t>
      </w:r>
    </w:p>
    <w:p w:rsidR="00BA45EC" w:rsidRDefault="00BA45EC" w:rsidP="00BA45EC"/>
    <w:p w:rsidR="005D527E" w:rsidRDefault="005D527E" w:rsidP="005D527E">
      <w:r>
        <w:t>Что хочется в первую очередь описать.</w:t>
      </w:r>
    </w:p>
    <w:p w:rsidR="005D527E" w:rsidRDefault="005D527E" w:rsidP="005D527E">
      <w:pPr>
        <w:pStyle w:val="a9"/>
        <w:numPr>
          <w:ilvl w:val="0"/>
          <w:numId w:val="18"/>
        </w:numPr>
      </w:pPr>
    </w:p>
    <w:p w:rsidR="005D527E" w:rsidRDefault="005D527E" w:rsidP="005D527E"/>
    <w:p w:rsidR="005D527E" w:rsidRDefault="005D527E" w:rsidP="005D527E">
      <w:pPr>
        <w:pStyle w:val="3"/>
      </w:pPr>
      <w:r>
        <w:t>Общая часть</w:t>
      </w:r>
    </w:p>
    <w:p w:rsidR="005D527E" w:rsidRDefault="005D527E" w:rsidP="00BA45EC"/>
    <w:p w:rsidR="00BA45EC" w:rsidRPr="00BA45EC" w:rsidRDefault="00BA45EC" w:rsidP="00BA45EC">
      <w:pPr>
        <w:rPr>
          <w:lang w:val="en-US"/>
        </w:rPr>
      </w:pPr>
      <w:r>
        <w:rPr>
          <w:lang w:val="en-US"/>
        </w:rPr>
        <w:t>AAPCS</w:t>
      </w:r>
      <w:r w:rsidRPr="00BA45EC">
        <w:rPr>
          <w:lang w:val="en-US"/>
        </w:rPr>
        <w:t xml:space="preserve"> – </w:t>
      </w:r>
      <w:r>
        <w:t>сокращение</w:t>
      </w:r>
      <w:r w:rsidRPr="00BA45EC">
        <w:rPr>
          <w:lang w:val="en-US"/>
        </w:rPr>
        <w:t xml:space="preserve"> </w:t>
      </w:r>
      <w:r>
        <w:t>от</w:t>
      </w:r>
      <w:r w:rsidRPr="00BA45EC">
        <w:rPr>
          <w:lang w:val="en-US"/>
        </w:rPr>
        <w:t xml:space="preserve"> </w:t>
      </w:r>
      <w:r>
        <w:rPr>
          <w:lang w:val="en-US"/>
        </w:rPr>
        <w:t>(ARM Architecture Procedure Call Standard)</w:t>
      </w:r>
      <w:r w:rsidRPr="00BA45EC">
        <w:rPr>
          <w:lang w:val="en-US"/>
        </w:rPr>
        <w:t>.</w:t>
      </w:r>
    </w:p>
    <w:p w:rsidR="00BA45EC" w:rsidRPr="008C0EE9" w:rsidRDefault="008C0EE9" w:rsidP="00BA45EC">
      <w:r>
        <w:t>В названии стандарта используется термин «</w:t>
      </w:r>
      <w:r>
        <w:rPr>
          <w:lang w:val="en-US"/>
        </w:rPr>
        <w:t>Procedure</w:t>
      </w:r>
      <w:r>
        <w:t xml:space="preserve">». Далее в русском контексте я буду использовать не только русский эквивалент «процедура», но также и термин «подпрограмма» </w:t>
      </w:r>
      <w:r>
        <w:noBreakHyphen/>
        <w:t xml:space="preserve"> который испольуется в терминологии, принятой среди программистов на языках Ассемблера и который в данном описании я</w:t>
      </w:r>
      <w:r>
        <w:t>в</w:t>
      </w:r>
      <w:r>
        <w:t>ляется синонимом термина «процедура».  В том случае, если подпрограмма возвращает значение – р</w:t>
      </w:r>
      <w:r>
        <w:t>е</w:t>
      </w:r>
      <w:r>
        <w:t>зультат работы, в качестве синонима может использоваться термин «функция».</w:t>
      </w:r>
    </w:p>
    <w:p w:rsidR="00634075" w:rsidRDefault="00634075" w:rsidP="00634075">
      <w:pPr>
        <w:pStyle w:val="Default"/>
        <w:spacing w:before="80" w:after="80"/>
        <w:rPr>
          <w:sz w:val="20"/>
          <w:szCs w:val="20"/>
        </w:rPr>
      </w:pPr>
    </w:p>
    <w:p w:rsidR="00634075" w:rsidRPr="00634075" w:rsidRDefault="00634075" w:rsidP="00634075">
      <w:pPr>
        <w:spacing w:after="60"/>
        <w:rPr>
          <w:lang w:val="en-US"/>
        </w:rPr>
      </w:pPr>
      <w:r w:rsidRPr="00634075">
        <w:rPr>
          <w:lang w:val="en-US"/>
        </w:rPr>
        <w:t xml:space="preserve">AAPCS </w:t>
      </w:r>
      <w:r w:rsidRPr="00634075">
        <w:rPr>
          <w:lang w:val="en-US"/>
        </w:rPr>
        <w:tab/>
        <w:t xml:space="preserve">Procedure Call Standard for the ARM Architecture (this standard). </w:t>
      </w:r>
    </w:p>
    <w:p w:rsidR="00634075" w:rsidRPr="00634075" w:rsidRDefault="00634075" w:rsidP="00634075">
      <w:pPr>
        <w:spacing w:after="60"/>
        <w:rPr>
          <w:lang w:val="en-US"/>
        </w:rPr>
      </w:pPr>
      <w:r w:rsidRPr="00634075">
        <w:rPr>
          <w:lang w:val="en-US"/>
        </w:rPr>
        <w:t xml:space="preserve">APCS </w:t>
      </w:r>
      <w:r w:rsidRPr="00634075">
        <w:rPr>
          <w:lang w:val="en-US"/>
        </w:rPr>
        <w:tab/>
      </w:r>
      <w:r w:rsidRPr="00634075">
        <w:rPr>
          <w:lang w:val="en-US"/>
        </w:rPr>
        <w:tab/>
        <w:t xml:space="preserve">ARM Procedure Call Standard (obsolete). </w:t>
      </w:r>
    </w:p>
    <w:p w:rsidR="00634075" w:rsidRPr="00634075" w:rsidRDefault="00634075" w:rsidP="00634075">
      <w:pPr>
        <w:spacing w:after="60"/>
        <w:rPr>
          <w:lang w:val="en-US"/>
        </w:rPr>
      </w:pPr>
      <w:r w:rsidRPr="00634075">
        <w:rPr>
          <w:lang w:val="en-US"/>
        </w:rPr>
        <w:t xml:space="preserve">TPCS </w:t>
      </w:r>
      <w:r w:rsidRPr="00634075">
        <w:rPr>
          <w:lang w:val="en-US"/>
        </w:rPr>
        <w:tab/>
      </w:r>
      <w:r w:rsidRPr="00634075">
        <w:rPr>
          <w:lang w:val="en-US"/>
        </w:rPr>
        <w:tab/>
        <w:t xml:space="preserve">Thumb Procedure Call Standard (obsolete). </w:t>
      </w:r>
    </w:p>
    <w:p w:rsidR="00634075" w:rsidRPr="00634075" w:rsidRDefault="00634075" w:rsidP="00634075">
      <w:pPr>
        <w:spacing w:after="60"/>
        <w:rPr>
          <w:lang w:val="en-US"/>
        </w:rPr>
      </w:pPr>
      <w:r w:rsidRPr="00634075">
        <w:rPr>
          <w:lang w:val="en-US"/>
        </w:rPr>
        <w:t xml:space="preserve">ATPCS </w:t>
      </w:r>
      <w:r w:rsidRPr="00634075">
        <w:rPr>
          <w:lang w:val="en-US"/>
        </w:rPr>
        <w:tab/>
        <w:t xml:space="preserve">ARM-Thumb Procedure Call Standard (precursor to this standard). </w:t>
      </w:r>
    </w:p>
    <w:p w:rsidR="00634075" w:rsidRPr="00634075" w:rsidRDefault="00634075" w:rsidP="00634075">
      <w:pPr>
        <w:spacing w:after="60"/>
        <w:rPr>
          <w:lang w:val="en-US"/>
        </w:rPr>
      </w:pPr>
      <w:r w:rsidRPr="00634075">
        <w:rPr>
          <w:lang w:val="en-US"/>
        </w:rPr>
        <w:t xml:space="preserve">PIC, PID </w:t>
      </w:r>
      <w:r w:rsidRPr="00634075">
        <w:rPr>
          <w:lang w:val="en-US"/>
        </w:rPr>
        <w:tab/>
        <w:t xml:space="preserve">Position-independent code, position-independent data. </w:t>
      </w:r>
    </w:p>
    <w:p w:rsidR="00634075" w:rsidRPr="00634075" w:rsidRDefault="00634075" w:rsidP="00BA45EC">
      <w:pPr>
        <w:rPr>
          <w:lang w:val="en-US"/>
        </w:rPr>
      </w:pPr>
    </w:p>
    <w:p w:rsidR="00634075" w:rsidRPr="006B438D" w:rsidRDefault="00634075" w:rsidP="00634075">
      <w:pPr>
        <w:spacing w:after="60"/>
        <w:rPr>
          <w:i/>
        </w:rPr>
      </w:pPr>
      <w:r w:rsidRPr="005D527E">
        <w:rPr>
          <w:u w:val="single"/>
          <w:lang w:val="en-US"/>
        </w:rPr>
        <w:t>Routine</w:t>
      </w:r>
      <w:r w:rsidRPr="005D527E">
        <w:rPr>
          <w:u w:val="single"/>
        </w:rPr>
        <w:t xml:space="preserve">, </w:t>
      </w:r>
      <w:r w:rsidRPr="005D527E">
        <w:rPr>
          <w:u w:val="single"/>
          <w:lang w:val="en-US"/>
        </w:rPr>
        <w:t>subroutine</w:t>
      </w:r>
      <w:r w:rsidRPr="005D527E">
        <w:t xml:space="preserve"> </w:t>
      </w:r>
      <w:r w:rsidRPr="005D527E">
        <w:tab/>
        <w:t xml:space="preserve">Подпрограмма </w:t>
      </w:r>
      <w:r w:rsidRPr="005D527E">
        <w:noBreakHyphen/>
        <w:t xml:space="preserve"> Фрагмент программы, которую можно вызвать (передать ей управление), и по окончании выполнения подпрограммы управление вернется на инструкцию, следу</w:t>
      </w:r>
      <w:r w:rsidRPr="005D527E">
        <w:t>ю</w:t>
      </w:r>
      <w:r w:rsidRPr="005D527E">
        <w:t>щую за вызовом.</w:t>
      </w:r>
      <w:r w:rsidR="005D527E">
        <w:t xml:space="preserve">   </w:t>
      </w:r>
      <w:r w:rsidR="005D527E" w:rsidRPr="005D527E">
        <w:rPr>
          <w:lang w:val="en-US"/>
        </w:rPr>
        <w:t>Routine</w:t>
      </w:r>
      <w:r w:rsidR="005D527E" w:rsidRPr="005D527E">
        <w:t xml:space="preserve"> – вызывающая часть</w:t>
      </w:r>
      <w:r w:rsidR="005D527E">
        <w:t xml:space="preserve">, </w:t>
      </w:r>
      <w:r w:rsidR="005D527E" w:rsidRPr="005D527E">
        <w:rPr>
          <w:lang w:val="en-US"/>
        </w:rPr>
        <w:t>subroutine</w:t>
      </w:r>
      <w:r w:rsidR="005D527E" w:rsidRPr="005D527E">
        <w:t xml:space="preserve">  </w:t>
      </w:r>
      <w:r w:rsidR="005D527E" w:rsidRPr="005D527E">
        <w:noBreakHyphen/>
        <w:t xml:space="preserve"> вызываемая подпрограмма.</w:t>
      </w:r>
      <w:r w:rsidR="006B438D">
        <w:t xml:space="preserve"> В англоязычных текстах для вызывающего кода иногда используют слово </w:t>
      </w:r>
      <w:r w:rsidR="006B438D">
        <w:rPr>
          <w:i/>
          <w:lang w:val="en-US"/>
        </w:rPr>
        <w:t>caller</w:t>
      </w:r>
      <w:r w:rsidR="006B438D">
        <w:t xml:space="preserve">, а для вызываемого кода (подпрограммы) – термин </w:t>
      </w:r>
      <w:r w:rsidR="006B438D">
        <w:rPr>
          <w:i/>
          <w:lang w:val="en-US"/>
        </w:rPr>
        <w:t>callee</w:t>
      </w:r>
    </w:p>
    <w:p w:rsidR="00634075" w:rsidRDefault="00634075" w:rsidP="00BA45EC"/>
    <w:p w:rsidR="00634075" w:rsidRPr="00634075" w:rsidRDefault="00634075" w:rsidP="00634075">
      <w:pPr>
        <w:spacing w:after="60"/>
      </w:pPr>
      <w:r w:rsidRPr="00634075">
        <w:rPr>
          <w:lang w:val="en-US"/>
        </w:rPr>
        <w:t>Argument</w:t>
      </w:r>
      <w:r w:rsidRPr="00634075">
        <w:t xml:space="preserve">, </w:t>
      </w:r>
      <w:r w:rsidRPr="00634075">
        <w:rPr>
          <w:lang w:val="en-US"/>
        </w:rPr>
        <w:t>Parameter</w:t>
      </w:r>
      <w:r w:rsidRPr="00634075">
        <w:t xml:space="preserve"> </w:t>
      </w:r>
      <w:r>
        <w:tab/>
        <w:t>будут использоваться оба термина, как синонимы.</w:t>
      </w:r>
    </w:p>
    <w:p w:rsidR="00634075" w:rsidRDefault="00634075" w:rsidP="00BA45EC"/>
    <w:p w:rsidR="00634075" w:rsidRPr="00634075" w:rsidRDefault="00634075" w:rsidP="00634075">
      <w:pPr>
        <w:spacing w:after="60"/>
      </w:pPr>
      <w:r w:rsidRPr="00634075">
        <w:rPr>
          <w:lang w:val="en-US"/>
        </w:rPr>
        <w:t>Variadic</w:t>
      </w:r>
      <w:r w:rsidRPr="005D527E">
        <w:t xml:space="preserve"> </w:t>
      </w:r>
      <w:r w:rsidR="005D527E">
        <w:t xml:space="preserve"> </w:t>
      </w:r>
      <w:r w:rsidRPr="00634075">
        <w:rPr>
          <w:lang w:val="en-US"/>
        </w:rPr>
        <w:t>routine</w:t>
      </w:r>
      <w:r w:rsidRPr="005D527E">
        <w:t xml:space="preserve"> </w:t>
      </w:r>
      <w:r>
        <w:tab/>
        <w:t>Подпрограмма с переменным числом параметров (???).</w:t>
      </w:r>
    </w:p>
    <w:p w:rsidR="00634075" w:rsidRDefault="00634075" w:rsidP="00BA45EC"/>
    <w:p w:rsidR="005D527E" w:rsidRPr="005D527E" w:rsidRDefault="005D527E" w:rsidP="005D527E">
      <w:pPr>
        <w:spacing w:after="60"/>
      </w:pPr>
      <w:r w:rsidRPr="005D527E">
        <w:rPr>
          <w:lang w:val="en-US"/>
        </w:rPr>
        <w:t>Scratch</w:t>
      </w:r>
      <w:r w:rsidRPr="005D527E">
        <w:t xml:space="preserve"> </w:t>
      </w:r>
      <w:r w:rsidRPr="005D527E">
        <w:rPr>
          <w:lang w:val="en-US"/>
        </w:rPr>
        <w:t>register</w:t>
      </w:r>
      <w:r w:rsidRPr="005D527E">
        <w:t xml:space="preserve">, </w:t>
      </w:r>
      <w:r w:rsidRPr="005D527E">
        <w:rPr>
          <w:lang w:val="en-US"/>
        </w:rPr>
        <w:t>temporary</w:t>
      </w:r>
      <w:r w:rsidRPr="005D527E">
        <w:t xml:space="preserve"> </w:t>
      </w:r>
      <w:r w:rsidRPr="005D527E">
        <w:rPr>
          <w:lang w:val="en-US"/>
        </w:rPr>
        <w:t>register</w:t>
      </w:r>
      <w:r w:rsidRPr="005D527E">
        <w:t xml:space="preserve"> </w:t>
      </w:r>
      <w:r>
        <w:tab/>
        <w:t>Регистр, используемый для хранения промежуточных результатов (обычно таким значениям не соответствует имя, упоминаемое в исходном тексте программы, а решение об использовании регистра принимает компилятор.)</w:t>
      </w:r>
    </w:p>
    <w:p w:rsidR="005D527E" w:rsidRPr="005D527E" w:rsidRDefault="005D527E" w:rsidP="005D527E">
      <w:pPr>
        <w:spacing w:after="60"/>
      </w:pPr>
      <w:r w:rsidRPr="005D527E">
        <w:rPr>
          <w:lang w:val="en-US"/>
        </w:rPr>
        <w:t>Variable</w:t>
      </w:r>
      <w:r w:rsidRPr="005D527E">
        <w:t xml:space="preserve"> </w:t>
      </w:r>
      <w:r w:rsidRPr="005D527E">
        <w:rPr>
          <w:lang w:val="en-US"/>
        </w:rPr>
        <w:t>register</w:t>
      </w:r>
      <w:r w:rsidRPr="005D527E">
        <w:t xml:space="preserve">, </w:t>
      </w:r>
      <w:r w:rsidRPr="005D527E">
        <w:rPr>
          <w:lang w:val="en-US"/>
        </w:rPr>
        <w:t>v</w:t>
      </w:r>
      <w:r w:rsidRPr="005D527E">
        <w:t>-</w:t>
      </w:r>
      <w:r w:rsidRPr="005D527E">
        <w:rPr>
          <w:lang w:val="en-US"/>
        </w:rPr>
        <w:t>register</w:t>
      </w:r>
      <w:r w:rsidRPr="005D527E">
        <w:t xml:space="preserve"> </w:t>
      </w:r>
      <w:r>
        <w:t>– регистр, используемый для хранения значения, которому соответствует имя (переменной, может быть, и локальной для подпрограммы).</w:t>
      </w:r>
    </w:p>
    <w:p w:rsidR="00634075" w:rsidRDefault="00634075" w:rsidP="00BA45EC"/>
    <w:p w:rsidR="00634075" w:rsidRDefault="005D527E" w:rsidP="005D527E">
      <w:pPr>
        <w:pStyle w:val="3"/>
      </w:pPr>
      <w:r>
        <w:t>Область действия</w:t>
      </w:r>
      <w:r w:rsidR="006B438D">
        <w:rPr>
          <w:lang w:val="en-US"/>
        </w:rPr>
        <w:t xml:space="preserve"> </w:t>
      </w:r>
      <w:r w:rsidR="006B438D">
        <w:t>стандарта</w:t>
      </w:r>
      <w:r>
        <w:t>.</w:t>
      </w:r>
    </w:p>
    <w:p w:rsidR="00634075" w:rsidRDefault="005D527E" w:rsidP="00BA45EC">
      <w:r>
        <w:t xml:space="preserve">Стандарт определяет, как </w:t>
      </w:r>
      <w:r w:rsidR="00A46AE1">
        <w:t>программистам</w:t>
      </w:r>
      <w:r>
        <w:t xml:space="preserve"> следует а) писать, б) транслировать </w:t>
      </w:r>
      <w:r w:rsidR="00A46AE1">
        <w:t>(</w:t>
      </w:r>
      <w:r>
        <w:t>под</w:t>
      </w:r>
      <w:r w:rsidR="00A46AE1">
        <w:t>)</w:t>
      </w:r>
      <w:r>
        <w:t>программы, чтобы они были способны работать</w:t>
      </w:r>
      <w:r w:rsidR="00A46AE1">
        <w:t xml:space="preserve"> работать совместно. Он определяет соглашение, которое должно собл</w:t>
      </w:r>
      <w:r w:rsidR="00A46AE1">
        <w:t>ю</w:t>
      </w:r>
      <w:r w:rsidR="00A46AE1">
        <w:t>даться вызывающей и вызываемой частями кода.</w:t>
      </w:r>
    </w:p>
    <w:p w:rsidR="00634075" w:rsidRDefault="00A46AE1" w:rsidP="00A46AE1">
      <w:pPr>
        <w:pStyle w:val="a9"/>
        <w:numPr>
          <w:ilvl w:val="0"/>
          <w:numId w:val="19"/>
        </w:numPr>
      </w:pPr>
      <w:r>
        <w:t xml:space="preserve">Обязанность для </w:t>
      </w:r>
      <w:r w:rsidRPr="006B438D">
        <w:rPr>
          <w:i/>
        </w:rPr>
        <w:t>вызывающего</w:t>
      </w:r>
      <w:r>
        <w:t xml:space="preserve"> создать состояние программы, в котором вызываемый может успе</w:t>
      </w:r>
      <w:r>
        <w:t>ш</w:t>
      </w:r>
      <w:r>
        <w:t>но начать исполняться.</w:t>
      </w:r>
    </w:p>
    <w:p w:rsidR="00A46AE1" w:rsidRDefault="00A46AE1" w:rsidP="00A46AE1">
      <w:pPr>
        <w:pStyle w:val="a9"/>
        <w:numPr>
          <w:ilvl w:val="0"/>
          <w:numId w:val="19"/>
        </w:numPr>
      </w:pPr>
      <w:r>
        <w:t xml:space="preserve">Обязанность для </w:t>
      </w:r>
      <w:r w:rsidRPr="006B438D">
        <w:rPr>
          <w:i/>
        </w:rPr>
        <w:t>вызываемого</w:t>
      </w:r>
      <w:r>
        <w:t xml:space="preserve"> после вызова сохранять программное состояние, которое позволит </w:t>
      </w:r>
      <w:r w:rsidRPr="006B438D">
        <w:rPr>
          <w:i/>
        </w:rPr>
        <w:t>вызывающему</w:t>
      </w:r>
      <w:r>
        <w:t xml:space="preserve"> успешно продолжиться после возврата из вызываемого.</w:t>
      </w:r>
    </w:p>
    <w:p w:rsidR="00A46AE1" w:rsidRDefault="00A46AE1" w:rsidP="00A46AE1">
      <w:pPr>
        <w:pStyle w:val="a9"/>
        <w:numPr>
          <w:ilvl w:val="0"/>
          <w:numId w:val="19"/>
        </w:numPr>
      </w:pPr>
      <w:r>
        <w:t>Права для вызываемого изменять состояние программы в некоторых пределах (рамках).</w:t>
      </w:r>
    </w:p>
    <w:p w:rsidR="00634075" w:rsidRDefault="00634075" w:rsidP="00BA45EC"/>
    <w:p w:rsidR="00D85ECE" w:rsidRDefault="00D85ECE" w:rsidP="00BA45EC"/>
    <w:p w:rsidR="00D85ECE" w:rsidRPr="00634075" w:rsidRDefault="00D85ECE" w:rsidP="00BA45EC"/>
    <w:p w:rsidR="00634075" w:rsidRPr="00634075" w:rsidRDefault="00634075" w:rsidP="00BA45EC"/>
    <w:p w:rsidR="00BA45EC" w:rsidRDefault="00BA45EC" w:rsidP="00BA45EC"/>
    <w:p w:rsidR="00D85ECE" w:rsidRPr="00D85ECE" w:rsidRDefault="00D85ECE" w:rsidP="00D85ECE">
      <w:r>
        <w:t xml:space="preserve">Данный стандарт </w:t>
      </w:r>
      <w:r w:rsidRPr="00D85ECE">
        <w:t>{</w:t>
      </w:r>
      <w:r>
        <w:t>определяет/устанавливает/создает</w:t>
      </w:r>
      <w:r w:rsidRPr="00D85ECE">
        <w:t xml:space="preserve">} </w:t>
      </w:r>
      <w:r>
        <w:t>основу для семейства соглашений о вызовах по</w:t>
      </w:r>
      <w:r>
        <w:t>д</w:t>
      </w:r>
      <w:r>
        <w:t xml:space="preserve">программ. </w:t>
      </w:r>
      <w:r w:rsidRPr="00D85ECE">
        <w:t>{</w:t>
      </w:r>
      <w:r>
        <w:t>Экземпляры/представители</w:t>
      </w:r>
      <w:r w:rsidRPr="00D85ECE">
        <w:t>}</w:t>
      </w:r>
      <w:r>
        <w:t xml:space="preserve"> семейства</w:t>
      </w:r>
      <w:r w:rsidRPr="00D85ECE">
        <w:t xml:space="preserve"> </w:t>
      </w:r>
      <w:r>
        <w:t>могут способствовать достижению различных (часто альтернативных/взаимно-исключающих) целей, среди которых основные:</w:t>
      </w:r>
      <w:r>
        <w:br/>
      </w:r>
      <w:r>
        <w:noBreakHyphen/>
        <w:t xml:space="preserve"> минимизация размера кода;</w:t>
      </w:r>
      <w:r>
        <w:br/>
      </w:r>
      <w:r>
        <w:noBreakHyphen/>
        <w:t xml:space="preserve"> повышение производительности (скорости работы);</w:t>
      </w:r>
      <w:r w:rsidR="00E557D6">
        <w:br/>
      </w:r>
      <w:r w:rsidR="00E557D6">
        <w:noBreakHyphen/>
        <w:t xml:space="preserve"> функциональность (в частности, легкость отладки, проверки во время исполнения и т.п.)</w:t>
      </w:r>
    </w:p>
    <w:p w:rsidR="00D85ECE" w:rsidRDefault="00E557D6" w:rsidP="00D85ECE">
      <w:r>
        <w:t xml:space="preserve">Некоторые свойства каждого из вариантов – например, допустимое использование регистра </w:t>
      </w:r>
      <w:r>
        <w:rPr>
          <w:lang w:val="en-US"/>
        </w:rPr>
        <w:t>R</w:t>
      </w:r>
      <w:r w:rsidRPr="00E557D6">
        <w:t>9</w:t>
      </w:r>
      <w:r w:rsidR="0024374E" w:rsidRPr="0024374E">
        <w:t xml:space="preserve"> </w:t>
      </w:r>
      <w:r w:rsidR="0024374E">
        <w:t>– могут определяться/определяются средой исполнения. Таким образом:</w:t>
      </w:r>
    </w:p>
    <w:p w:rsidR="0024374E" w:rsidRPr="0024374E" w:rsidRDefault="0024374E" w:rsidP="00D85ECE"/>
    <w:p w:rsidR="00E557D6" w:rsidRPr="00E557D6" w:rsidRDefault="00E557D6" w:rsidP="0024374E">
      <w:pPr>
        <w:pStyle w:val="Default"/>
        <w:numPr>
          <w:ilvl w:val="0"/>
          <w:numId w:val="21"/>
        </w:numPr>
        <w:pBdr>
          <w:top w:val="single" w:sz="4" w:space="1" w:color="auto"/>
          <w:left w:val="single" w:sz="4" w:space="4" w:color="auto"/>
          <w:bottom w:val="single" w:sz="4" w:space="1" w:color="auto"/>
          <w:right w:val="single" w:sz="4" w:space="4" w:color="auto"/>
        </w:pBdr>
        <w:spacing w:after="42"/>
        <w:rPr>
          <w:sz w:val="20"/>
          <w:szCs w:val="20"/>
          <w:lang w:val="en-US"/>
        </w:rPr>
      </w:pPr>
      <w:r w:rsidRPr="00E557D6">
        <w:rPr>
          <w:sz w:val="20"/>
          <w:szCs w:val="20"/>
          <w:lang w:val="en-US"/>
        </w:rPr>
        <w:t xml:space="preserve">It is possible for code complying strictly with the base standard to be PCS compatible with each of the variants. </w:t>
      </w:r>
    </w:p>
    <w:p w:rsidR="00E557D6" w:rsidRPr="00E557D6" w:rsidRDefault="00E557D6" w:rsidP="0024374E">
      <w:pPr>
        <w:pStyle w:val="Default"/>
        <w:numPr>
          <w:ilvl w:val="0"/>
          <w:numId w:val="21"/>
        </w:numPr>
        <w:pBdr>
          <w:top w:val="single" w:sz="4" w:space="1" w:color="auto"/>
          <w:left w:val="single" w:sz="4" w:space="4" w:color="auto"/>
          <w:bottom w:val="single" w:sz="4" w:space="1" w:color="auto"/>
          <w:right w:val="single" w:sz="4" w:space="4" w:color="auto"/>
        </w:pBdr>
        <w:spacing w:after="42"/>
        <w:rPr>
          <w:sz w:val="20"/>
          <w:szCs w:val="20"/>
          <w:lang w:val="en-US"/>
        </w:rPr>
      </w:pPr>
      <w:r w:rsidRPr="00E557D6">
        <w:rPr>
          <w:sz w:val="20"/>
          <w:szCs w:val="20"/>
          <w:lang w:val="en-US"/>
        </w:rPr>
        <w:t>It is unusual for code complying with a variant to be compatible with code complying with any other va</w:t>
      </w:r>
      <w:r w:rsidRPr="00E557D6">
        <w:rPr>
          <w:sz w:val="20"/>
          <w:szCs w:val="20"/>
          <w:lang w:val="en-US"/>
        </w:rPr>
        <w:t>r</w:t>
      </w:r>
      <w:r w:rsidRPr="00E557D6">
        <w:rPr>
          <w:sz w:val="20"/>
          <w:szCs w:val="20"/>
          <w:lang w:val="en-US"/>
        </w:rPr>
        <w:t xml:space="preserve">iant. </w:t>
      </w:r>
    </w:p>
    <w:p w:rsidR="00E557D6" w:rsidRPr="00E557D6" w:rsidRDefault="00E557D6" w:rsidP="0024374E">
      <w:pPr>
        <w:pStyle w:val="Default"/>
        <w:numPr>
          <w:ilvl w:val="0"/>
          <w:numId w:val="21"/>
        </w:numPr>
        <w:pBdr>
          <w:top w:val="single" w:sz="4" w:space="1" w:color="auto"/>
          <w:left w:val="single" w:sz="4" w:space="4" w:color="auto"/>
          <w:bottom w:val="single" w:sz="4" w:space="1" w:color="auto"/>
          <w:right w:val="single" w:sz="4" w:space="4" w:color="auto"/>
        </w:pBdr>
        <w:rPr>
          <w:sz w:val="20"/>
          <w:szCs w:val="20"/>
          <w:lang w:val="en-US"/>
        </w:rPr>
      </w:pPr>
      <w:r w:rsidRPr="00E557D6">
        <w:rPr>
          <w:sz w:val="20"/>
          <w:szCs w:val="20"/>
          <w:lang w:val="en-US"/>
        </w:rPr>
        <w:t xml:space="preserve">Code complying with a variant, or with the base standard, is not guaranteed to be compatible with an execution environment that requires those standards. An execution environment may make further demands beyond the scope of the procedure call standard. </w:t>
      </w:r>
    </w:p>
    <w:p w:rsidR="00E557D6" w:rsidRDefault="00E557D6" w:rsidP="00BA45EC"/>
    <w:p w:rsidR="0024374E" w:rsidRDefault="0065592A" w:rsidP="0065592A">
      <w:pPr>
        <w:pStyle w:val="a9"/>
        <w:numPr>
          <w:ilvl w:val="0"/>
          <w:numId w:val="22"/>
        </w:numPr>
      </w:pPr>
      <w:r>
        <w:t>Код может строго следовать стандарту (Соглашению о Вызовах Процедур), и, как следствие, быть совместимым с любым из вариантов.</w:t>
      </w:r>
    </w:p>
    <w:p w:rsidR="0024374E" w:rsidRDefault="0065592A" w:rsidP="0065592A">
      <w:pPr>
        <w:pStyle w:val="a9"/>
        <w:numPr>
          <w:ilvl w:val="0"/>
          <w:numId w:val="22"/>
        </w:numPr>
      </w:pPr>
      <w:r>
        <w:t>Если код следует требованиям, реализованным в одном из вариантов, это, как правило, не означает полного соответствия всем требованиям стандарта.</w:t>
      </w:r>
    </w:p>
    <w:p w:rsidR="0065592A" w:rsidRDefault="0065592A" w:rsidP="0065592A">
      <w:pPr>
        <w:pStyle w:val="a9"/>
        <w:numPr>
          <w:ilvl w:val="0"/>
          <w:numId w:val="22"/>
        </w:numPr>
      </w:pPr>
      <w:r>
        <w:t>Полное удовлетворение требованиям стандарта еще не гарантирует работоспособности в конкретной среде исполнения, т.е. среда исполнения может накладывать дополнительные требования (огранич</w:t>
      </w:r>
      <w:r>
        <w:t>е</w:t>
      </w:r>
      <w:r>
        <w:t>ния) сверх тех, что оговорены стандартом.</w:t>
      </w:r>
    </w:p>
    <w:p w:rsidR="0024374E" w:rsidRDefault="0024374E" w:rsidP="00BA45EC"/>
    <w:p w:rsidR="0065592A" w:rsidRDefault="00176367" w:rsidP="00BA45EC">
      <w:r>
        <w:t>Стандарт содержит четыре секции (части), в которых оговаривается:</w:t>
      </w:r>
    </w:p>
    <w:p w:rsidR="00176367" w:rsidRDefault="00176367" w:rsidP="00176367">
      <w:pPr>
        <w:pStyle w:val="a9"/>
        <w:numPr>
          <w:ilvl w:val="0"/>
          <w:numId w:val="22"/>
        </w:numPr>
      </w:pPr>
      <w:r>
        <w:t>Требования к размещению элементов данных (???)</w:t>
      </w:r>
    </w:p>
    <w:p w:rsidR="0065592A" w:rsidRDefault="00176367" w:rsidP="00176367">
      <w:pPr>
        <w:pStyle w:val="a9"/>
        <w:numPr>
          <w:ilvl w:val="0"/>
          <w:numId w:val="22"/>
        </w:numPr>
      </w:pPr>
      <w:r>
        <w:t>Структура стека (желательно более узкий термин: что-то вроде «структура и назначение обл</w:t>
      </w:r>
      <w:r>
        <w:t>а</w:t>
      </w:r>
      <w:r>
        <w:t>стей/элементов стека, а может быть, стекового кадра/кадров)</w:t>
      </w:r>
    </w:p>
    <w:p w:rsidR="005F51FF" w:rsidRDefault="005F51FF" w:rsidP="00176367">
      <w:pPr>
        <w:pStyle w:val="a9"/>
        <w:numPr>
          <w:ilvl w:val="0"/>
          <w:numId w:val="22"/>
        </w:numPr>
      </w:pPr>
      <w:r>
        <w:t>Варианты/вариации, которые могут быть использованы при разработке архитектурных расширений процессоров (???), или случаи, когда среда исполнения накладывает ограничения на модель адрес</w:t>
      </w:r>
      <w:r>
        <w:t>а</w:t>
      </w:r>
      <w:r>
        <w:t>ции.</w:t>
      </w:r>
    </w:p>
    <w:p w:rsidR="005F51FF" w:rsidRPr="0059338A" w:rsidRDefault="005F51FF" w:rsidP="0059338A">
      <w:pPr>
        <w:pStyle w:val="a9"/>
        <w:numPr>
          <w:ilvl w:val="0"/>
          <w:numId w:val="22"/>
        </w:numPr>
        <w:rPr>
          <w:lang w:val="en-US"/>
        </w:rPr>
      </w:pPr>
      <w:r w:rsidRPr="0059338A">
        <w:rPr>
          <w:lang w:val="en-US"/>
        </w:rPr>
        <w:t>The C and C++ languag</w:t>
      </w:r>
      <w:r w:rsidR="0059338A" w:rsidRPr="0059338A">
        <w:rPr>
          <w:lang w:val="en-US"/>
        </w:rPr>
        <w:t>e bindings for plain data types.</w:t>
      </w:r>
    </w:p>
    <w:p w:rsidR="0065592A" w:rsidRPr="0059338A" w:rsidRDefault="0059338A" w:rsidP="00BA45EC">
      <w:r w:rsidRPr="0059338A">
        <w:t>This specification does not standardize the representation of publicly visible C++-language entities that are not also C language entities (these are described in CPPABI) and it places no requirements on the representation of language entities that are not visible across public interfaces.</w:t>
      </w:r>
    </w:p>
    <w:p w:rsidR="0024374E" w:rsidRPr="005F51FF" w:rsidRDefault="0024374E" w:rsidP="00BA45EC">
      <w:pPr>
        <w:rPr>
          <w:lang w:val="en-US"/>
        </w:rPr>
      </w:pPr>
    </w:p>
    <w:p w:rsidR="0024374E" w:rsidRPr="001E12D3" w:rsidRDefault="001E12D3" w:rsidP="001E12D3">
      <w:pPr>
        <w:pStyle w:val="3"/>
      </w:pPr>
      <w:r>
        <w:t>Цели разработки стандарта</w:t>
      </w:r>
    </w:p>
    <w:p w:rsidR="0024374E" w:rsidRDefault="001E12D3" w:rsidP="00BA45EC">
      <w:r>
        <w:t>Стандарт разрабатывался, чтобы</w:t>
      </w:r>
    </w:p>
    <w:p w:rsidR="001E12D3" w:rsidRPr="001E12D3" w:rsidRDefault="001E12D3" w:rsidP="001E12D3">
      <w:pPr>
        <w:pStyle w:val="a9"/>
        <w:numPr>
          <w:ilvl w:val="0"/>
          <w:numId w:val="22"/>
        </w:numPr>
      </w:pPr>
      <w:r>
        <w:t xml:space="preserve">в равной степени обеспечить поддержку режимов процессора </w:t>
      </w:r>
      <w:r w:rsidRPr="001E12D3">
        <w:t xml:space="preserve">Thumb-state </w:t>
      </w:r>
      <w:r>
        <w:t>и</w:t>
      </w:r>
      <w:r w:rsidRPr="001E12D3">
        <w:t xml:space="preserve"> ARM-state </w:t>
      </w:r>
    </w:p>
    <w:p w:rsidR="0059338A" w:rsidRDefault="001E12D3" w:rsidP="001E12D3">
      <w:pPr>
        <w:pStyle w:val="a9"/>
        <w:numPr>
          <w:ilvl w:val="0"/>
          <w:numId w:val="22"/>
        </w:numPr>
      </w:pPr>
      <w:r>
        <w:t>обеспечить взаимодействие этих режимов</w:t>
      </w:r>
    </w:p>
    <w:p w:rsidR="0059338A" w:rsidRPr="001E12D3" w:rsidRDefault="001E12D3" w:rsidP="001E12D3">
      <w:pPr>
        <w:pStyle w:val="a9"/>
        <w:numPr>
          <w:ilvl w:val="0"/>
          <w:numId w:val="22"/>
        </w:numPr>
      </w:pPr>
      <w:r>
        <w:t>обеспечить эффективное исполнение кода на высокопроизводительных реализациях архитект</w:t>
      </w:r>
      <w:r>
        <w:t>у</w:t>
      </w:r>
      <w:r>
        <w:t>ры</w:t>
      </w:r>
      <w:r w:rsidRPr="001E12D3">
        <w:t>ARM</w:t>
      </w:r>
    </w:p>
    <w:p w:rsidR="0059338A" w:rsidRDefault="001E12D3" w:rsidP="001E12D3">
      <w:pPr>
        <w:pStyle w:val="a9"/>
        <w:numPr>
          <w:ilvl w:val="0"/>
          <w:numId w:val="22"/>
        </w:numPr>
      </w:pPr>
      <w:r>
        <w:lastRenderedPageBreak/>
        <w:t>четко разграничить обязательные требования от вариаций, которые допустимы при конкретных ре</w:t>
      </w:r>
      <w:r>
        <w:t>а</w:t>
      </w:r>
      <w:r>
        <w:t>лизациях архитектуры.</w:t>
      </w:r>
    </w:p>
    <w:p w:rsidR="0059338A" w:rsidRPr="0059338A" w:rsidRDefault="001E12D3" w:rsidP="001E12D3">
      <w:pPr>
        <w:pStyle w:val="a9"/>
        <w:numPr>
          <w:ilvl w:val="0"/>
          <w:numId w:val="22"/>
        </w:numPr>
      </w:pPr>
      <w:r>
        <w:t>минимизировать (возможную) несовместимость на уровне двоичного кода (т.е. результата трансл</w:t>
      </w:r>
      <w:r>
        <w:t>я</w:t>
      </w:r>
      <w:r>
        <w:t>ции). (Почему «минимизировать», а не «свести к нулю»???).</w:t>
      </w:r>
    </w:p>
    <w:p w:rsidR="00E557D6" w:rsidRDefault="00E557D6" w:rsidP="00BA45EC"/>
    <w:p w:rsidR="001E12D3" w:rsidRPr="000630B4" w:rsidRDefault="001E12D3" w:rsidP="001E12D3">
      <w:pPr>
        <w:rPr>
          <w:lang w:val="en-US"/>
        </w:rPr>
      </w:pPr>
      <w:r>
        <w:t>Совместимость</w:t>
      </w:r>
      <w:r w:rsidRPr="000630B4">
        <w:rPr>
          <w:lang w:val="en-US"/>
        </w:rPr>
        <w:t xml:space="preserve"> </w:t>
      </w:r>
      <w:r w:rsidR="000630B4">
        <w:t>/ или соответствие</w:t>
      </w:r>
      <w:r w:rsidRPr="000630B4">
        <w:rPr>
          <w:lang w:val="en-US"/>
        </w:rPr>
        <w:t xml:space="preserve"> (Conformance ) </w:t>
      </w:r>
    </w:p>
    <w:p w:rsidR="001E12D3" w:rsidRPr="000630B4" w:rsidRDefault="000630B4" w:rsidP="00BA45EC">
      <w:r w:rsidRPr="000630B4">
        <w:t>The AAPCS defines how separately compiled and separately assembled routines can work together. There is an externally visible interface between such routines. It is common that not all the externally visible interfaces to software are intended to be publicly visible or open to arbitrary use. In effect, there is a mismatch between the machine-level concept of external visibility—defined rigorously by an object code format—and a higher level, application-oriented concept of external visibility—which is system-specific or application-specific.</w:t>
      </w:r>
    </w:p>
    <w:p w:rsidR="001E12D3" w:rsidRPr="000630B4" w:rsidRDefault="000630B4" w:rsidP="00BA45EC">
      <w:r>
        <w:t>…….</w:t>
      </w:r>
    </w:p>
    <w:p w:rsidR="001E12D3" w:rsidRPr="000630B4" w:rsidRDefault="001E12D3" w:rsidP="00BA45EC">
      <w:pPr>
        <w:rPr>
          <w:lang w:val="en-US"/>
        </w:rPr>
      </w:pPr>
    </w:p>
    <w:p w:rsidR="001E12D3" w:rsidRPr="000630B4" w:rsidRDefault="000630B4" w:rsidP="00BA45EC">
      <w:r>
        <w:t>Соответствие стандарту требует, чтобы</w:t>
      </w:r>
    </w:p>
    <w:p w:rsidR="001E12D3" w:rsidRPr="000630B4" w:rsidRDefault="000630B4" w:rsidP="000630B4">
      <w:pPr>
        <w:pStyle w:val="a9"/>
        <w:numPr>
          <w:ilvl w:val="0"/>
          <w:numId w:val="22"/>
        </w:numPr>
      </w:pPr>
      <w:r>
        <w:t xml:space="preserve">в любой момент границы стека и выравнивание элементов стека </w:t>
      </w:r>
      <w:r w:rsidRPr="000630B4">
        <w:t>{</w:t>
      </w:r>
      <w:r>
        <w:t>были наблюдаемы</w:t>
      </w:r>
      <w:r w:rsidRPr="000630B4">
        <w:t xml:space="preserve"> </w:t>
      </w:r>
      <w:r>
        <w:t>/или/ соблюд</w:t>
      </w:r>
      <w:r>
        <w:t>а</w:t>
      </w:r>
      <w:r>
        <w:t>лись</w:t>
      </w:r>
      <w:r w:rsidRPr="000630B4">
        <w:t>}</w:t>
      </w:r>
      <w:r>
        <w:t xml:space="preserve"> (</w:t>
      </w:r>
      <w:r w:rsidRPr="000630B4">
        <w:t xml:space="preserve">are observed </w:t>
      </w:r>
      <w:r>
        <w:t>)</w:t>
      </w:r>
    </w:p>
    <w:p w:rsidR="001E12D3" w:rsidRPr="000630B4" w:rsidRDefault="000630B4" w:rsidP="000630B4">
      <w:pPr>
        <w:pStyle w:val="a9"/>
        <w:numPr>
          <w:ilvl w:val="0"/>
          <w:numId w:val="22"/>
        </w:numPr>
        <w:rPr>
          <w:lang w:val="en-US"/>
        </w:rPr>
      </w:pPr>
      <w:r>
        <w:t>соблюдались</w:t>
      </w:r>
      <w:r w:rsidRPr="000630B4">
        <w:rPr>
          <w:lang w:val="en-US"/>
        </w:rPr>
        <w:t xml:space="preserve"> </w:t>
      </w:r>
      <w:r>
        <w:t>правила</w:t>
      </w:r>
      <w:r w:rsidRPr="000630B4">
        <w:rPr>
          <w:lang w:val="en-US"/>
        </w:rPr>
        <w:t xml:space="preserve"> </w:t>
      </w:r>
      <w:r>
        <w:t>использования</w:t>
      </w:r>
      <w:r w:rsidRPr="000630B4">
        <w:rPr>
          <w:lang w:val="en-US"/>
        </w:rPr>
        <w:t xml:space="preserve"> </w:t>
      </w:r>
      <w:r>
        <w:rPr>
          <w:lang w:val="en-US"/>
        </w:rPr>
        <w:t>IP (</w:t>
      </w:r>
      <w:r w:rsidRPr="000630B4">
        <w:rPr>
          <w:lang w:val="en-US"/>
        </w:rPr>
        <w:t xml:space="preserve">???  </w:t>
      </w:r>
      <w:r>
        <w:rPr>
          <w:lang w:val="en-US"/>
        </w:rPr>
        <w:t xml:space="preserve">IP </w:t>
      </w:r>
      <w:r>
        <w:t>это</w:t>
      </w:r>
      <w:r w:rsidRPr="00D5211B">
        <w:rPr>
          <w:lang w:val="en-US"/>
        </w:rPr>
        <w:t xml:space="preserve"> </w:t>
      </w:r>
      <w:r w:rsidRPr="000630B4">
        <w:rPr>
          <w:lang w:val="en-US"/>
        </w:rPr>
        <w:t>The Intra-Procedure-call scratch register</w:t>
      </w:r>
      <w:r w:rsidRPr="00D5211B">
        <w:rPr>
          <w:lang w:val="en-US"/>
        </w:rPr>
        <w:t xml:space="preserve"> </w:t>
      </w:r>
      <w:r>
        <w:rPr>
          <w:lang w:val="en-US"/>
        </w:rPr>
        <w:t>R12</w:t>
      </w:r>
      <w:r w:rsidRPr="00D5211B">
        <w:rPr>
          <w:lang w:val="en-US"/>
        </w:rPr>
        <w:t xml:space="preserve"> </w:t>
      </w:r>
      <w:r w:rsidRPr="000630B4">
        <w:rPr>
          <w:lang w:val="en-US"/>
        </w:rPr>
        <w:t>)</w:t>
      </w:r>
    </w:p>
    <w:p w:rsidR="000630B4" w:rsidRPr="000630B4" w:rsidRDefault="000630B4" w:rsidP="00BA45EC">
      <w:pPr>
        <w:rPr>
          <w:lang w:val="en-US"/>
        </w:rPr>
      </w:pPr>
    </w:p>
    <w:p w:rsidR="000630B4" w:rsidRPr="00D5211B" w:rsidRDefault="00D5211B" w:rsidP="00D5211B">
      <w:pPr>
        <w:pStyle w:val="3"/>
      </w:pPr>
      <w:r>
        <w:t>Регистры процессора</w:t>
      </w:r>
    </w:p>
    <w:p w:rsidR="000630B4" w:rsidRPr="00D5211B" w:rsidRDefault="00D5211B" w:rsidP="00BA45EC">
      <w:r>
        <w:t xml:space="preserve">В таблице указаны регистры процессора архитектур </w:t>
      </w:r>
      <w:r>
        <w:rPr>
          <w:lang w:val="en-US"/>
        </w:rPr>
        <w:t>ARM</w:t>
      </w:r>
      <w:r w:rsidRPr="00D5211B">
        <w:t xml:space="preserve">7, </w:t>
      </w:r>
      <w:r>
        <w:rPr>
          <w:lang w:val="en-US"/>
        </w:rPr>
        <w:t>ARM</w:t>
      </w:r>
      <w:r w:rsidRPr="00D5211B">
        <w:t xml:space="preserve">9, </w:t>
      </w:r>
      <w:r>
        <w:rPr>
          <w:lang w:val="en-US"/>
        </w:rPr>
        <w:t>ARM</w:t>
      </w:r>
      <w:r w:rsidRPr="00D5211B">
        <w:t>11</w:t>
      </w:r>
      <w:r>
        <w:t>, обозначения для этих рег</w:t>
      </w:r>
      <w:r>
        <w:t>и</w:t>
      </w:r>
      <w:r>
        <w:t>стров и их назначение, предписываемое стандартом.</w:t>
      </w:r>
    </w:p>
    <w:p w:rsidR="000630B4" w:rsidRPr="000630B4" w:rsidRDefault="00D5211B" w:rsidP="00BA45EC">
      <w:pPr>
        <w:rPr>
          <w:lang w:val="en-US"/>
        </w:rPr>
      </w:pPr>
      <w:r>
        <w:rPr>
          <w:noProof/>
        </w:rPr>
        <w:drawing>
          <wp:inline distT="0" distB="0" distL="0" distR="0">
            <wp:extent cx="6300470" cy="4542598"/>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36000" contrast="58000"/>
                      <a:extLst>
                        <a:ext uri="{28A0092B-C50C-407E-A947-70E740481C1C}">
                          <a14:useLocalDpi xmlns:a14="http://schemas.microsoft.com/office/drawing/2010/main" val="0"/>
                        </a:ext>
                      </a:extLst>
                    </a:blip>
                    <a:srcRect/>
                    <a:stretch>
                      <a:fillRect/>
                    </a:stretch>
                  </pic:blipFill>
                  <pic:spPr bwMode="auto">
                    <a:xfrm>
                      <a:off x="0" y="0"/>
                      <a:ext cx="6300470" cy="4542598"/>
                    </a:xfrm>
                    <a:prstGeom prst="rect">
                      <a:avLst/>
                    </a:prstGeom>
                    <a:noFill/>
                    <a:ln>
                      <a:noFill/>
                    </a:ln>
                  </pic:spPr>
                </pic:pic>
              </a:graphicData>
            </a:graphic>
          </wp:inline>
        </w:drawing>
      </w:r>
    </w:p>
    <w:p w:rsidR="000630B4" w:rsidRDefault="00D5211B" w:rsidP="00BA45EC">
      <w:r>
        <w:t>Обозначения регистров могут использоваться не только в поясняющих текстах, но также и в инструкц</w:t>
      </w:r>
      <w:r>
        <w:t>и</w:t>
      </w:r>
      <w:r>
        <w:t>ях языка Ассемблера. Там допускается использовать как верхний регистр (прописные буквы) так и ни</w:t>
      </w:r>
      <w:r>
        <w:t>ж</w:t>
      </w:r>
      <w:r>
        <w:t>ний (строчные буквы).</w:t>
      </w:r>
    </w:p>
    <w:p w:rsidR="00D5211B" w:rsidRPr="00313C73" w:rsidRDefault="00D5211B" w:rsidP="00D5211B">
      <w:r>
        <w:lastRenderedPageBreak/>
        <w:t xml:space="preserve">В данном стандарте обозначения большими буквами (например, </w:t>
      </w:r>
      <w:r>
        <w:rPr>
          <w:lang w:val="en-US"/>
        </w:rPr>
        <w:t>PC</w:t>
      </w:r>
      <w:r w:rsidRPr="00D5211B">
        <w:t xml:space="preserve">, </w:t>
      </w:r>
      <w:r>
        <w:rPr>
          <w:lang w:val="en-US"/>
        </w:rPr>
        <w:t>LR</w:t>
      </w:r>
      <w:r w:rsidRPr="00D5211B">
        <w:t xml:space="preserve">, </w:t>
      </w:r>
      <w:r>
        <w:rPr>
          <w:lang w:val="en-US"/>
        </w:rPr>
        <w:t>SP</w:t>
      </w:r>
      <w:r w:rsidRPr="00D5211B">
        <w:t xml:space="preserve">, </w:t>
      </w:r>
      <w:r>
        <w:rPr>
          <w:lang w:val="en-US"/>
        </w:rPr>
        <w:t>IP</w:t>
      </w:r>
      <w:r>
        <w:t>) используются в том случае, если регистру предписана стандартом определенная (фиксированная роль/предназначение) в х</w:t>
      </w:r>
      <w:r>
        <w:t>о</w:t>
      </w:r>
      <w:r>
        <w:t>де вызова процедуры.</w:t>
      </w:r>
      <w:r w:rsidR="00313C73">
        <w:t xml:space="preserve"> Кроме того, программе доступен еще регистр состояний </w:t>
      </w:r>
      <w:r w:rsidR="00313C73" w:rsidRPr="00313C73">
        <w:t>CPSR</w:t>
      </w:r>
      <w:r w:rsidR="00313C73">
        <w:t xml:space="preserve">  (</w:t>
      </w:r>
      <w:r w:rsidR="00313C73" w:rsidRPr="00313C73">
        <w:t>that is available for use in conforming code</w:t>
      </w:r>
      <w:r w:rsidR="00313C73">
        <w:t>).</w:t>
      </w:r>
    </w:p>
    <w:p w:rsidR="00D5211B" w:rsidRPr="008C0EE9" w:rsidRDefault="008C0EE9" w:rsidP="00BA45EC">
      <w:r>
        <w:t xml:space="preserve">Первые четыре регистра </w:t>
      </w:r>
      <w:r>
        <w:rPr>
          <w:lang w:val="en-US"/>
        </w:rPr>
        <w:t>r</w:t>
      </w:r>
      <w:r w:rsidRPr="008C0EE9">
        <w:t>0-</w:t>
      </w:r>
      <w:r>
        <w:rPr>
          <w:lang w:val="en-US"/>
        </w:rPr>
        <w:t>r</w:t>
      </w:r>
      <w:r>
        <w:t xml:space="preserve">3 (синоним </w:t>
      </w:r>
      <w:r>
        <w:rPr>
          <w:lang w:val="en-US"/>
        </w:rPr>
        <w:t>a</w:t>
      </w:r>
      <w:r w:rsidRPr="008C0EE9">
        <w:t>1-</w:t>
      </w:r>
      <w:r>
        <w:rPr>
          <w:lang w:val="en-US"/>
        </w:rPr>
        <w:t>a</w:t>
      </w:r>
      <w:r w:rsidRPr="008C0EE9">
        <w:t>4)</w:t>
      </w:r>
      <w:r>
        <w:t xml:space="preserve"> используются для передачи в процедуру значений пар</w:t>
      </w:r>
      <w:r>
        <w:t>а</w:t>
      </w:r>
      <w:r>
        <w:t>метров и для возврата результата, формируемого функцией.</w:t>
      </w:r>
    </w:p>
    <w:p w:rsidR="00D5211B" w:rsidRDefault="00D5211B" w:rsidP="00BA45EC"/>
    <w:p w:rsidR="002A546F" w:rsidRPr="002A546F" w:rsidRDefault="002A546F" w:rsidP="002A546F">
      <w:r>
        <w:t>Регистр</w:t>
      </w:r>
      <w:r w:rsidRPr="002A546F">
        <w:t xml:space="preserve"> </w:t>
      </w:r>
      <w:r w:rsidRPr="002A546F">
        <w:rPr>
          <w:lang w:val="en-US"/>
        </w:rPr>
        <w:t>r</w:t>
      </w:r>
      <w:r w:rsidRPr="002A546F">
        <w:t>12 (</w:t>
      </w:r>
      <w:r w:rsidRPr="002A546F">
        <w:rPr>
          <w:lang w:val="en-US"/>
        </w:rPr>
        <w:t>IP</w:t>
      </w:r>
      <w:r w:rsidRPr="002A546F">
        <w:t xml:space="preserve"> </w:t>
      </w:r>
      <w:r w:rsidRPr="002A546F">
        <w:noBreakHyphen/>
        <w:t xml:space="preserve"> </w:t>
      </w:r>
      <w:r w:rsidRPr="002A546F">
        <w:rPr>
          <w:lang w:val="en-US"/>
        </w:rPr>
        <w:t>Intra</w:t>
      </w:r>
      <w:r w:rsidRPr="002A546F">
        <w:t>-</w:t>
      </w:r>
      <w:r w:rsidRPr="002A546F">
        <w:rPr>
          <w:lang w:val="en-US"/>
        </w:rPr>
        <w:t>Procedure</w:t>
      </w:r>
      <w:r w:rsidRPr="002A546F">
        <w:t>-</w:t>
      </w:r>
      <w:r w:rsidRPr="002A546F">
        <w:rPr>
          <w:lang w:val="en-US"/>
        </w:rPr>
        <w:t>call</w:t>
      </w:r>
      <w:r w:rsidRPr="002A546F">
        <w:t xml:space="preserve"> </w:t>
      </w:r>
      <w:r w:rsidRPr="002A546F">
        <w:rPr>
          <w:lang w:val="en-US"/>
        </w:rPr>
        <w:t>scratch</w:t>
      </w:r>
      <w:r w:rsidRPr="002A546F">
        <w:t xml:space="preserve"> </w:t>
      </w:r>
      <w:r w:rsidRPr="002A546F">
        <w:rPr>
          <w:lang w:val="en-US"/>
        </w:rPr>
        <w:t>register</w:t>
      </w:r>
      <w:r w:rsidRPr="002A546F">
        <w:t xml:space="preserve">) </w:t>
      </w:r>
      <w:r>
        <w:t>может быть использован в качестве регистра пром</w:t>
      </w:r>
      <w:r>
        <w:t>е</w:t>
      </w:r>
      <w:r>
        <w:t>жуточного хранения (</w:t>
      </w:r>
      <w:r>
        <w:rPr>
          <w:lang w:val="en-US"/>
        </w:rPr>
        <w:t>scratch</w:t>
      </w:r>
      <w:r w:rsidRPr="002A546F">
        <w:t xml:space="preserve"> </w:t>
      </w:r>
      <w:r>
        <w:rPr>
          <w:lang w:val="en-US"/>
        </w:rPr>
        <w:t>register</w:t>
      </w:r>
      <w:r>
        <w:t>)</w:t>
      </w:r>
      <w:r w:rsidRPr="002A546F">
        <w:t xml:space="preserve"> </w:t>
      </w:r>
      <w:r>
        <w:t xml:space="preserve"> </w:t>
      </w:r>
    </w:p>
    <w:p w:rsidR="00D5211B" w:rsidRDefault="002A546F" w:rsidP="00BA45EC">
      <w:r>
        <w:t>В любом из двух состояний (</w:t>
      </w:r>
      <w:r>
        <w:rPr>
          <w:lang w:val="en-US"/>
        </w:rPr>
        <w:t>States</w:t>
      </w:r>
      <w:r w:rsidRPr="002A546F">
        <w:t>)</w:t>
      </w:r>
      <w:r>
        <w:t xml:space="preserve"> команда вызова </w:t>
      </w:r>
      <w:r>
        <w:rPr>
          <w:lang w:val="en-US"/>
        </w:rPr>
        <w:t>BL</w:t>
      </w:r>
      <w:r>
        <w:t xml:space="preserve"> не способна совершить переход в любую точку адресного пространства, в этой команде используется относительная адресация со </w:t>
      </w:r>
      <w:r w:rsidR="003772C4">
        <w:t xml:space="preserve">26-битовым </w:t>
      </w:r>
      <w:r>
        <w:t>смещ</w:t>
      </w:r>
      <w:r>
        <w:t>е</w:t>
      </w:r>
      <w:r>
        <w:t>нием.</w:t>
      </w:r>
      <w:r w:rsidRPr="002A546F">
        <w:t xml:space="preserve"> </w:t>
      </w:r>
      <w:r>
        <w:t xml:space="preserve">Для такого перехода может быть использована </w:t>
      </w:r>
      <w:r w:rsidR="003772C4">
        <w:t xml:space="preserve">связка команды </w:t>
      </w:r>
      <w:r w:rsidR="003772C4">
        <w:rPr>
          <w:lang w:val="en-US"/>
        </w:rPr>
        <w:t>BL</w:t>
      </w:r>
      <w:r w:rsidR="003772C4" w:rsidRPr="003772C4">
        <w:t xml:space="preserve"> </w:t>
      </w:r>
      <w:r w:rsidR="003772C4">
        <w:t xml:space="preserve">и команды </w:t>
      </w:r>
      <w:r w:rsidR="003772C4">
        <w:rPr>
          <w:lang w:val="en-US"/>
        </w:rPr>
        <w:t>BX</w:t>
      </w:r>
      <w:r w:rsidR="002A2076">
        <w:t>, например, так:</w:t>
      </w:r>
    </w:p>
    <w:p w:rsidR="002A2076" w:rsidRPr="00D55857" w:rsidRDefault="00D55857" w:rsidP="002A2076">
      <w:pPr>
        <w:spacing w:after="60"/>
        <w:rPr>
          <w:rFonts w:ascii="Courier New" w:hAnsi="Courier New" w:cs="Courier New"/>
          <w:spacing w:val="-20"/>
        </w:rPr>
      </w:pPr>
      <w:r w:rsidRPr="00D55857">
        <w:rPr>
          <w:rFonts w:ascii="Courier New" w:hAnsi="Courier New" w:cs="Courier New"/>
          <w:spacing w:val="-20"/>
          <w:lang w:val="en-US"/>
        </w:rPr>
        <w:tab/>
        <w:t>LDR</w:t>
      </w:r>
      <w:r w:rsidRPr="00D55857">
        <w:rPr>
          <w:rFonts w:ascii="Courier New" w:hAnsi="Courier New" w:cs="Courier New"/>
          <w:spacing w:val="-20"/>
        </w:rPr>
        <w:tab/>
      </w:r>
      <w:r w:rsidRPr="00D55857">
        <w:rPr>
          <w:rFonts w:ascii="Courier New" w:hAnsi="Courier New" w:cs="Courier New"/>
          <w:spacing w:val="-20"/>
          <w:lang w:val="en-US"/>
        </w:rPr>
        <w:t>r</w:t>
      </w:r>
      <w:r w:rsidRPr="00D55857">
        <w:rPr>
          <w:rFonts w:ascii="Courier New" w:hAnsi="Courier New" w:cs="Courier New"/>
          <w:spacing w:val="-20"/>
        </w:rPr>
        <w:t>12, =#</w:t>
      </w:r>
      <w:r w:rsidRPr="00D55857">
        <w:rPr>
          <w:rFonts w:ascii="Courier New" w:hAnsi="Courier New" w:cs="Courier New"/>
          <w:spacing w:val="-20"/>
          <w:lang w:val="en-US"/>
        </w:rPr>
        <w:t>Proc</w:t>
      </w:r>
      <w:r w:rsidRPr="00D55857">
        <w:rPr>
          <w:rFonts w:ascii="Courier New" w:hAnsi="Courier New" w:cs="Courier New"/>
          <w:spacing w:val="-20"/>
        </w:rPr>
        <w:tab/>
        <w:t xml:space="preserve">; загрузить стартовый адрес процедуры в </w:t>
      </w:r>
      <w:r w:rsidRPr="00D55857">
        <w:rPr>
          <w:rFonts w:ascii="Courier New" w:hAnsi="Courier New" w:cs="Courier New"/>
          <w:spacing w:val="-20"/>
          <w:lang w:val="en-US"/>
        </w:rPr>
        <w:t>r</w:t>
      </w:r>
      <w:r w:rsidRPr="00D55857">
        <w:rPr>
          <w:rFonts w:ascii="Courier New" w:hAnsi="Courier New" w:cs="Courier New"/>
          <w:spacing w:val="-20"/>
        </w:rPr>
        <w:t>12</w:t>
      </w:r>
    </w:p>
    <w:p w:rsidR="002A2076" w:rsidRPr="00D55857" w:rsidRDefault="00D55857" w:rsidP="002A2076">
      <w:pPr>
        <w:spacing w:after="60"/>
        <w:rPr>
          <w:rFonts w:ascii="Courier New" w:hAnsi="Courier New" w:cs="Courier New"/>
          <w:spacing w:val="-20"/>
        </w:rPr>
      </w:pPr>
      <w:r w:rsidRPr="00D55857">
        <w:rPr>
          <w:rFonts w:ascii="Courier New" w:hAnsi="Courier New" w:cs="Courier New"/>
          <w:spacing w:val="-20"/>
        </w:rPr>
        <w:tab/>
      </w:r>
      <w:r w:rsidRPr="00D55857">
        <w:rPr>
          <w:rFonts w:ascii="Courier New" w:hAnsi="Courier New" w:cs="Courier New"/>
          <w:spacing w:val="-20"/>
          <w:lang w:val="en-US"/>
        </w:rPr>
        <w:t>BL</w:t>
      </w:r>
      <w:r w:rsidRPr="00D55857">
        <w:rPr>
          <w:rFonts w:ascii="Courier New" w:hAnsi="Courier New" w:cs="Courier New"/>
          <w:spacing w:val="-20"/>
        </w:rPr>
        <w:tab/>
      </w:r>
      <w:r w:rsidRPr="00D55857">
        <w:rPr>
          <w:rFonts w:ascii="Courier New" w:hAnsi="Courier New" w:cs="Courier New"/>
          <w:spacing w:val="-20"/>
          <w:lang w:val="en-US"/>
        </w:rPr>
        <w:t>L</w:t>
      </w:r>
      <w:r w:rsidRPr="00D55857">
        <w:rPr>
          <w:rFonts w:ascii="Courier New" w:hAnsi="Courier New" w:cs="Courier New"/>
          <w:spacing w:val="-20"/>
        </w:rPr>
        <w:t>1</w:t>
      </w:r>
      <w:r w:rsidRPr="00D55857">
        <w:rPr>
          <w:rFonts w:ascii="Courier New" w:hAnsi="Courier New" w:cs="Courier New"/>
          <w:spacing w:val="-20"/>
        </w:rPr>
        <w:tab/>
      </w:r>
      <w:r w:rsidRPr="00D55857">
        <w:rPr>
          <w:rFonts w:ascii="Courier New" w:hAnsi="Courier New" w:cs="Courier New"/>
          <w:spacing w:val="-20"/>
        </w:rPr>
        <w:tab/>
        <w:t xml:space="preserve">; </w:t>
      </w:r>
      <w:r>
        <w:rPr>
          <w:rFonts w:ascii="Courier New" w:hAnsi="Courier New" w:cs="Courier New"/>
          <w:spacing w:val="-20"/>
        </w:rPr>
        <w:t xml:space="preserve">команда вызова, расстояние до </w:t>
      </w:r>
      <w:r>
        <w:rPr>
          <w:rFonts w:ascii="Courier New" w:hAnsi="Courier New" w:cs="Courier New"/>
          <w:spacing w:val="-20"/>
          <w:lang w:val="en-US"/>
        </w:rPr>
        <w:t>L</w:t>
      </w:r>
      <w:r w:rsidRPr="00D55857">
        <w:rPr>
          <w:rFonts w:ascii="Courier New" w:hAnsi="Courier New" w:cs="Courier New"/>
          <w:spacing w:val="-20"/>
        </w:rPr>
        <w:t xml:space="preserve">1 </w:t>
      </w:r>
      <w:r>
        <w:rPr>
          <w:rFonts w:ascii="Courier New" w:hAnsi="Courier New" w:cs="Courier New"/>
          <w:spacing w:val="-20"/>
        </w:rPr>
        <w:t>не больше 2</w:t>
      </w:r>
      <w:r>
        <w:rPr>
          <w:rFonts w:ascii="Courier New" w:hAnsi="Courier New" w:cs="Courier New"/>
          <w:spacing w:val="-20"/>
          <w:vertAlign w:val="superscript"/>
        </w:rPr>
        <w:t>26</w:t>
      </w:r>
    </w:p>
    <w:p w:rsidR="00D55857" w:rsidRPr="00D55857" w:rsidRDefault="00D55857" w:rsidP="002A2076">
      <w:pPr>
        <w:spacing w:after="60"/>
        <w:rPr>
          <w:rFonts w:ascii="Courier New" w:hAnsi="Courier New" w:cs="Courier New"/>
          <w:spacing w:val="-20"/>
        </w:rPr>
      </w:pPr>
      <w:r w:rsidRPr="00D55857">
        <w:rPr>
          <w:rFonts w:ascii="Courier New" w:hAnsi="Courier New" w:cs="Courier New"/>
          <w:spacing w:val="-20"/>
        </w:rPr>
        <w:tab/>
      </w:r>
      <w:r w:rsidRPr="00D55857">
        <w:rPr>
          <w:rFonts w:ascii="Courier New" w:hAnsi="Courier New" w:cs="Courier New"/>
          <w:spacing w:val="-20"/>
        </w:rPr>
        <w:tab/>
      </w:r>
      <w:r>
        <w:rPr>
          <w:rFonts w:ascii="Courier New" w:hAnsi="Courier New" w:cs="Courier New"/>
          <w:spacing w:val="-20"/>
          <w:lang w:val="en-US"/>
        </w:rPr>
        <w:t xml:space="preserve">; </w:t>
      </w:r>
      <w:r>
        <w:rPr>
          <w:rFonts w:ascii="Courier New" w:hAnsi="Courier New" w:cs="Courier New"/>
          <w:spacing w:val="-20"/>
        </w:rPr>
        <w:t>на эту команду будет возврат</w:t>
      </w:r>
    </w:p>
    <w:p w:rsidR="00D55857" w:rsidRPr="00D55857" w:rsidRDefault="00D55857" w:rsidP="002A2076">
      <w:pPr>
        <w:spacing w:after="60"/>
        <w:rPr>
          <w:rFonts w:ascii="Courier New" w:hAnsi="Courier New" w:cs="Courier New"/>
          <w:spacing w:val="-20"/>
        </w:rPr>
      </w:pPr>
      <w:r w:rsidRPr="00D55857">
        <w:rPr>
          <w:rFonts w:ascii="Courier New" w:hAnsi="Courier New" w:cs="Courier New"/>
          <w:spacing w:val="-20"/>
        </w:rPr>
        <w:tab/>
        <w:t>… …</w:t>
      </w:r>
    </w:p>
    <w:p w:rsidR="00D55857" w:rsidRPr="00D55857" w:rsidRDefault="00D55857" w:rsidP="002A2076">
      <w:pPr>
        <w:spacing w:after="60"/>
        <w:rPr>
          <w:rFonts w:ascii="Courier New" w:hAnsi="Courier New" w:cs="Courier New"/>
          <w:spacing w:val="-20"/>
        </w:rPr>
      </w:pPr>
      <w:r w:rsidRPr="00D55857">
        <w:rPr>
          <w:rFonts w:ascii="Courier New" w:hAnsi="Courier New" w:cs="Courier New"/>
          <w:spacing w:val="-20"/>
          <w:lang w:val="en-US"/>
        </w:rPr>
        <w:t>L</w:t>
      </w:r>
      <w:r w:rsidRPr="00D55857">
        <w:rPr>
          <w:rFonts w:ascii="Courier New" w:hAnsi="Courier New" w:cs="Courier New"/>
          <w:spacing w:val="-20"/>
        </w:rPr>
        <w:t>1:</w:t>
      </w:r>
      <w:r w:rsidRPr="00D55857">
        <w:rPr>
          <w:rFonts w:ascii="Courier New" w:hAnsi="Courier New" w:cs="Courier New"/>
          <w:spacing w:val="-20"/>
        </w:rPr>
        <w:tab/>
      </w:r>
      <w:r w:rsidRPr="00D55857">
        <w:rPr>
          <w:rFonts w:ascii="Courier New" w:hAnsi="Courier New" w:cs="Courier New"/>
          <w:spacing w:val="-20"/>
          <w:lang w:val="en-US"/>
        </w:rPr>
        <w:t>BX</w:t>
      </w:r>
      <w:r w:rsidRPr="00D55857">
        <w:rPr>
          <w:rFonts w:ascii="Courier New" w:hAnsi="Courier New" w:cs="Courier New"/>
          <w:spacing w:val="-20"/>
        </w:rPr>
        <w:tab/>
        <w:t>[</w:t>
      </w:r>
      <w:r w:rsidRPr="00D55857">
        <w:rPr>
          <w:rFonts w:ascii="Courier New" w:hAnsi="Courier New" w:cs="Courier New"/>
          <w:spacing w:val="-20"/>
          <w:lang w:val="en-US"/>
        </w:rPr>
        <w:t>r</w:t>
      </w:r>
      <w:r w:rsidRPr="00D55857">
        <w:rPr>
          <w:rFonts w:ascii="Courier New" w:hAnsi="Courier New" w:cs="Courier New"/>
          <w:spacing w:val="-20"/>
        </w:rPr>
        <w:t>12]</w:t>
      </w:r>
      <w:r>
        <w:rPr>
          <w:rFonts w:ascii="Courier New" w:hAnsi="Courier New" w:cs="Courier New"/>
          <w:spacing w:val="-20"/>
        </w:rPr>
        <w:tab/>
      </w:r>
      <w:r w:rsidRPr="00D55857">
        <w:rPr>
          <w:rFonts w:ascii="Courier New" w:hAnsi="Courier New" w:cs="Courier New"/>
          <w:spacing w:val="-20"/>
        </w:rPr>
        <w:t xml:space="preserve">; </w:t>
      </w:r>
      <w:r>
        <w:rPr>
          <w:rFonts w:ascii="Courier New" w:hAnsi="Courier New" w:cs="Courier New"/>
          <w:spacing w:val="-20"/>
        </w:rPr>
        <w:t>дополнительная команда (</w:t>
      </w:r>
      <w:r>
        <w:rPr>
          <w:rFonts w:ascii="Courier New" w:hAnsi="Courier New" w:cs="Courier New"/>
          <w:spacing w:val="-20"/>
          <w:lang w:val="en-US"/>
        </w:rPr>
        <w:t>veneer</w:t>
      </w:r>
      <w:r w:rsidRPr="00D55857">
        <w:rPr>
          <w:rFonts w:ascii="Courier New" w:hAnsi="Courier New" w:cs="Courier New"/>
          <w:spacing w:val="-20"/>
        </w:rPr>
        <w:t>)</w:t>
      </w:r>
      <w:r>
        <w:rPr>
          <w:rFonts w:ascii="Courier New" w:hAnsi="Courier New" w:cs="Courier New"/>
          <w:spacing w:val="-20"/>
        </w:rPr>
        <w:t xml:space="preserve">  </w:t>
      </w:r>
    </w:p>
    <w:p w:rsidR="00D55857" w:rsidRPr="00D55857" w:rsidRDefault="00D55857" w:rsidP="002A2076">
      <w:pPr>
        <w:spacing w:after="60"/>
        <w:rPr>
          <w:rFonts w:ascii="Courier New" w:hAnsi="Courier New" w:cs="Courier New"/>
          <w:spacing w:val="-20"/>
          <w:lang w:val="en-US"/>
        </w:rPr>
      </w:pPr>
      <w:r w:rsidRPr="00D55857">
        <w:rPr>
          <w:rFonts w:ascii="Courier New" w:hAnsi="Courier New" w:cs="Courier New"/>
          <w:spacing w:val="-20"/>
        </w:rPr>
        <w:tab/>
      </w:r>
      <w:r w:rsidRPr="00D55857">
        <w:rPr>
          <w:rFonts w:ascii="Courier New" w:hAnsi="Courier New" w:cs="Courier New"/>
          <w:spacing w:val="-20"/>
          <w:lang w:val="en-US"/>
        </w:rPr>
        <w:t>… …</w:t>
      </w:r>
    </w:p>
    <w:p w:rsidR="002A2076" w:rsidRDefault="00D55857" w:rsidP="00BA45EC">
      <w:pPr>
        <w:rPr>
          <w:rFonts w:ascii="Courier New" w:hAnsi="Courier New" w:cs="Courier New"/>
          <w:spacing w:val="-20"/>
          <w:lang w:val="en-US"/>
        </w:rPr>
      </w:pPr>
      <w:r w:rsidRPr="00D55857">
        <w:rPr>
          <w:rFonts w:ascii="Courier New" w:hAnsi="Courier New" w:cs="Courier New"/>
          <w:spacing w:val="-20"/>
          <w:lang w:val="en-US"/>
        </w:rPr>
        <w:t>Proc:</w:t>
      </w:r>
      <w:r w:rsidRPr="00D55857">
        <w:rPr>
          <w:rFonts w:ascii="Courier New" w:hAnsi="Courier New" w:cs="Courier New"/>
          <w:spacing w:val="-20"/>
          <w:lang w:val="en-US"/>
        </w:rPr>
        <w:tab/>
      </w:r>
      <w:r w:rsidRPr="00D55857">
        <w:rPr>
          <w:rFonts w:ascii="Courier New" w:hAnsi="Courier New" w:cs="Courier New"/>
          <w:spacing w:val="-20"/>
          <w:lang w:val="en-US"/>
        </w:rPr>
        <w:tab/>
      </w:r>
      <w:r w:rsidRPr="00D55857">
        <w:rPr>
          <w:rFonts w:ascii="Courier New" w:hAnsi="Courier New" w:cs="Courier New"/>
          <w:spacing w:val="-20"/>
          <w:lang w:val="en-US"/>
        </w:rPr>
        <w:tab/>
        <w:t xml:space="preserve">; </w:t>
      </w:r>
      <w:r w:rsidRPr="00D55857">
        <w:rPr>
          <w:rFonts w:ascii="Courier New" w:hAnsi="Courier New" w:cs="Courier New"/>
          <w:spacing w:val="-20"/>
        </w:rPr>
        <w:t>стартовый адрес процедуры</w:t>
      </w:r>
    </w:p>
    <w:p w:rsidR="00D5211B" w:rsidRPr="00D55857" w:rsidRDefault="00D5211B" w:rsidP="00BA45EC">
      <w:pPr>
        <w:rPr>
          <w:lang w:val="en-US"/>
        </w:rPr>
      </w:pPr>
    </w:p>
    <w:p w:rsidR="00D5211B" w:rsidRDefault="003678C7" w:rsidP="00BA45EC">
      <w:r>
        <w:t xml:space="preserve">Назначение регистра </w:t>
      </w:r>
      <w:r>
        <w:rPr>
          <w:lang w:val="en-US"/>
        </w:rPr>
        <w:t>r</w:t>
      </w:r>
      <w:r w:rsidRPr="003678C7">
        <w:t>9</w:t>
      </w:r>
      <w:r>
        <w:t xml:space="preserve"> зависит от «платформы» (что тут имеется в виду? возможно, версия процессора, а, может быть, среда исполнения). В</w:t>
      </w:r>
      <w:r w:rsidRPr="003678C7">
        <w:rPr>
          <w:lang w:val="en-US"/>
        </w:rPr>
        <w:t xml:space="preserve"> </w:t>
      </w:r>
      <w:r>
        <w:t>стандарте</w:t>
      </w:r>
      <w:r w:rsidRPr="003678C7">
        <w:rPr>
          <w:lang w:val="en-US"/>
        </w:rPr>
        <w:t xml:space="preserve"> </w:t>
      </w:r>
      <w:r>
        <w:t>приводится</w:t>
      </w:r>
      <w:r w:rsidRPr="003678C7">
        <w:rPr>
          <w:lang w:val="en-US"/>
        </w:rPr>
        <w:t xml:space="preserve"> </w:t>
      </w:r>
      <w:r>
        <w:t>такой</w:t>
      </w:r>
      <w:r w:rsidRPr="003678C7">
        <w:rPr>
          <w:lang w:val="en-US"/>
        </w:rPr>
        <w:t xml:space="preserve"> </w:t>
      </w:r>
      <w:r>
        <w:t>пример</w:t>
      </w:r>
      <w:r w:rsidRPr="003678C7">
        <w:rPr>
          <w:lang w:val="en-US"/>
        </w:rPr>
        <w:t>:</w:t>
      </w:r>
    </w:p>
    <w:p w:rsidR="003678C7" w:rsidRPr="003678C7" w:rsidRDefault="003678C7" w:rsidP="00BA45EC"/>
    <w:p w:rsidR="003678C7" w:rsidRPr="003678C7" w:rsidRDefault="003678C7" w:rsidP="003678C7">
      <w:pPr>
        <w:pBdr>
          <w:top w:val="single" w:sz="4" w:space="1" w:color="auto"/>
          <w:left w:val="single" w:sz="4" w:space="4" w:color="auto"/>
          <w:bottom w:val="single" w:sz="4" w:space="1" w:color="auto"/>
          <w:right w:val="single" w:sz="4" w:space="4" w:color="auto"/>
        </w:pBdr>
        <w:rPr>
          <w:lang w:val="en-US"/>
        </w:rPr>
      </w:pPr>
      <w:r w:rsidRPr="003678C7">
        <w:rPr>
          <w:sz w:val="20"/>
          <w:szCs w:val="20"/>
          <w:lang w:val="en-US"/>
        </w:rPr>
        <w:t>A virtual platform may assign any role to this register and must document this usage. For example, it may designate it as the static base (SB) in a position-independent data model, or it may designate it as the thread register (TR) in an enviro</w:t>
      </w:r>
      <w:r w:rsidRPr="003678C7">
        <w:rPr>
          <w:sz w:val="20"/>
          <w:szCs w:val="20"/>
          <w:lang w:val="en-US"/>
        </w:rPr>
        <w:t>n</w:t>
      </w:r>
      <w:r w:rsidRPr="003678C7">
        <w:rPr>
          <w:sz w:val="20"/>
          <w:szCs w:val="20"/>
          <w:lang w:val="en-US"/>
        </w:rPr>
        <w:t>ment with thread-local storage. The usage of this register may require that the value held is persistent across all calls. A vi</w:t>
      </w:r>
      <w:r w:rsidRPr="003678C7">
        <w:rPr>
          <w:sz w:val="20"/>
          <w:szCs w:val="20"/>
          <w:lang w:val="en-US"/>
        </w:rPr>
        <w:t>r</w:t>
      </w:r>
      <w:r w:rsidRPr="003678C7">
        <w:rPr>
          <w:sz w:val="20"/>
          <w:szCs w:val="20"/>
          <w:lang w:val="en-US"/>
        </w:rPr>
        <w:t>tual platform that has no need for such a special register may designate r9 as an additional callee-saved variable register, v6.</w:t>
      </w:r>
    </w:p>
    <w:p w:rsidR="00D55857" w:rsidRPr="003678C7" w:rsidRDefault="00D55857" w:rsidP="00BA45EC">
      <w:pPr>
        <w:rPr>
          <w:lang w:val="en-US"/>
        </w:rPr>
      </w:pPr>
    </w:p>
    <w:p w:rsidR="00D55857" w:rsidRPr="003678C7" w:rsidRDefault="003678C7" w:rsidP="00BA45EC">
      <w:r>
        <w:t>Виртуальная платформа (что имеется в виду? среда исполнения, операционная система? ) может назн</w:t>
      </w:r>
      <w:r>
        <w:t>а</w:t>
      </w:r>
      <w:r>
        <w:t xml:space="preserve">чить регистру </w:t>
      </w:r>
      <w:r>
        <w:rPr>
          <w:lang w:val="en-US"/>
        </w:rPr>
        <w:t>r</w:t>
      </w:r>
      <w:r w:rsidRPr="003678C7">
        <w:t xml:space="preserve">9 </w:t>
      </w:r>
      <w:r>
        <w:t>некую роль, но использование этого регистра должно быть документировано. Напр</w:t>
      </w:r>
      <w:r>
        <w:t>и</w:t>
      </w:r>
      <w:r>
        <w:t>мер, в этом регистре может содержаться «статический базовый адрес», позволяющий организовать п</w:t>
      </w:r>
      <w:r>
        <w:t>о</w:t>
      </w:r>
      <w:r>
        <w:t>зиционную независимость кода. Или в этом регистре (</w:t>
      </w:r>
      <w:r>
        <w:rPr>
          <w:lang w:val="en-US"/>
        </w:rPr>
        <w:t>TR</w:t>
      </w:r>
      <w:r w:rsidRPr="003678C7">
        <w:t xml:space="preserve"> – </w:t>
      </w:r>
      <w:r>
        <w:rPr>
          <w:lang w:val="en-US"/>
        </w:rPr>
        <w:t>thread</w:t>
      </w:r>
      <w:r w:rsidRPr="003678C7">
        <w:t xml:space="preserve"> </w:t>
      </w:r>
      <w:r>
        <w:rPr>
          <w:lang w:val="en-US"/>
        </w:rPr>
        <w:t>register</w:t>
      </w:r>
      <w:r>
        <w:t>) может содержаться</w:t>
      </w:r>
      <w:r w:rsidRPr="003678C7">
        <w:t xml:space="preserve"> </w:t>
      </w:r>
      <w:r>
        <w:t xml:space="preserve">базовый адрес области данных, локальных для определенного потока исполнения. Использование этого регистра может требовать сохранения его содержимого неизменным при всех вызовах процедур. Если же среда исполнения такова, что этого не требуется, она (среда) может использовать </w:t>
      </w:r>
      <w:r>
        <w:rPr>
          <w:lang w:val="en-US"/>
        </w:rPr>
        <w:t>r</w:t>
      </w:r>
      <w:r w:rsidRPr="003678C7">
        <w:t>9</w:t>
      </w:r>
      <w:r>
        <w:t xml:space="preserve"> для других целей, напр</w:t>
      </w:r>
      <w:r>
        <w:t>и</w:t>
      </w:r>
      <w:r>
        <w:t>мер</w:t>
      </w:r>
      <w:r w:rsidR="004125D6">
        <w:t xml:space="preserve"> держать в нем локальную переменную для вызываемой процедуры.</w:t>
      </w:r>
    </w:p>
    <w:p w:rsidR="00D5211B" w:rsidRPr="003678C7" w:rsidRDefault="00D5211B" w:rsidP="00BA45EC"/>
    <w:p w:rsidR="00D5211B" w:rsidRPr="004125D6" w:rsidRDefault="004125D6" w:rsidP="00BA45EC">
      <w:r>
        <w:t xml:space="preserve">Регистры </w:t>
      </w:r>
      <w:r>
        <w:rPr>
          <w:lang w:val="en-US"/>
        </w:rPr>
        <w:t>r</w:t>
      </w:r>
      <w:r w:rsidRPr="004125D6">
        <w:t>4-</w:t>
      </w:r>
      <w:r>
        <w:rPr>
          <w:lang w:val="en-US"/>
        </w:rPr>
        <w:t>r</w:t>
      </w:r>
      <w:r w:rsidRPr="004125D6">
        <w:t xml:space="preserve">8, </w:t>
      </w:r>
      <w:r>
        <w:rPr>
          <w:lang w:val="en-US"/>
        </w:rPr>
        <w:t>r</w:t>
      </w:r>
      <w:r w:rsidRPr="004125D6">
        <w:t xml:space="preserve">10 </w:t>
      </w:r>
      <w:r>
        <w:t xml:space="preserve"> и </w:t>
      </w:r>
      <w:r>
        <w:rPr>
          <w:lang w:val="en-US"/>
        </w:rPr>
        <w:t>r</w:t>
      </w:r>
      <w:r w:rsidRPr="004125D6">
        <w:t xml:space="preserve">11 </w:t>
      </w:r>
      <w:r>
        <w:t>обычно используются для хранения локальных переменных программы. П</w:t>
      </w:r>
      <w:r>
        <w:t>о</w:t>
      </w:r>
      <w:r>
        <w:t xml:space="preserve">этому вызванная процедура должна сохранять их содержимое (а, может быть и содержимое </w:t>
      </w:r>
      <w:r>
        <w:rPr>
          <w:lang w:val="en-US"/>
        </w:rPr>
        <w:t>r</w:t>
      </w:r>
      <w:r w:rsidRPr="004125D6">
        <w:t>9)</w:t>
      </w:r>
      <w:r>
        <w:t xml:space="preserve"> перед тем, как их использовать для своих целей.</w:t>
      </w:r>
    </w:p>
    <w:p w:rsidR="004125D6" w:rsidRPr="004125D6" w:rsidRDefault="004125D6" w:rsidP="004125D6">
      <w:pPr>
        <w:tabs>
          <w:tab w:val="left" w:pos="537"/>
        </w:tabs>
      </w:pPr>
      <w:r>
        <w:t xml:space="preserve">Во всех вариантах стандарта регистры </w:t>
      </w:r>
      <w:r>
        <w:rPr>
          <w:lang w:val="en-US"/>
        </w:rPr>
        <w:t>r</w:t>
      </w:r>
      <w:r w:rsidRPr="004125D6">
        <w:t>12-</w:t>
      </w:r>
      <w:r>
        <w:rPr>
          <w:lang w:val="en-US"/>
        </w:rPr>
        <w:t>r</w:t>
      </w:r>
      <w:r w:rsidRPr="004125D6">
        <w:t xml:space="preserve">15 </w:t>
      </w:r>
      <w:r>
        <w:t>имеют специальное предназначение и не могут использ</w:t>
      </w:r>
      <w:r>
        <w:t>о</w:t>
      </w:r>
      <w:r>
        <w:t>ваться для иных целей.</w:t>
      </w:r>
    </w:p>
    <w:p w:rsidR="004125D6" w:rsidRPr="003A631C" w:rsidRDefault="003A631C" w:rsidP="003A631C">
      <w:pPr>
        <w:pStyle w:val="5"/>
        <w:rPr>
          <w:lang w:val="en-US"/>
        </w:rPr>
      </w:pPr>
      <w:r>
        <w:t xml:space="preserve">Поля регистра состояний </w:t>
      </w:r>
      <w:r>
        <w:rPr>
          <w:lang w:val="en-US"/>
        </w:rPr>
        <w:t>CPSR</w:t>
      </w:r>
    </w:p>
    <w:p w:rsidR="004125D6" w:rsidRPr="004125D6" w:rsidRDefault="004125D6" w:rsidP="00BA45EC">
      <w:r>
        <w:t>Стандарт предписывает свойства отдельных полей регистра состояния (</w:t>
      </w:r>
      <w:r>
        <w:rPr>
          <w:lang w:val="en-US"/>
        </w:rPr>
        <w:t>CPSR</w:t>
      </w:r>
      <w:r w:rsidRPr="004125D6">
        <w:t xml:space="preserve"> </w:t>
      </w:r>
      <w:r>
        <w:rPr>
          <w:lang w:val="en-US"/>
        </w:rPr>
        <w:t>Current</w:t>
      </w:r>
      <w:r w:rsidRPr="004125D6">
        <w:t xml:space="preserve"> </w:t>
      </w:r>
      <w:r>
        <w:rPr>
          <w:lang w:val="en-US"/>
        </w:rPr>
        <w:t>Program</w:t>
      </w:r>
      <w:r w:rsidRPr="004125D6">
        <w:t xml:space="preserve"> </w:t>
      </w:r>
      <w:r>
        <w:rPr>
          <w:lang w:val="en-US"/>
        </w:rPr>
        <w:t>Status</w:t>
      </w:r>
      <w:r w:rsidRPr="004125D6">
        <w:t xml:space="preserve"> </w:t>
      </w:r>
      <w:r>
        <w:rPr>
          <w:lang w:val="en-US"/>
        </w:rPr>
        <w:t>Register</w:t>
      </w:r>
      <w:r w:rsidRPr="004125D6">
        <w:t>)</w:t>
      </w:r>
      <w:r>
        <w:t>. Некоторые поля присутствуют и используются только в некоторых архитектурных версиях.</w:t>
      </w:r>
    </w:p>
    <w:p w:rsidR="004125D6" w:rsidRDefault="004125D6" w:rsidP="00BA45EC"/>
    <w:p w:rsidR="004125D6" w:rsidRDefault="004125D6" w:rsidP="00BA45EC">
      <w:pPr>
        <w:rPr>
          <w:lang w:val="en-US"/>
        </w:rPr>
      </w:pPr>
    </w:p>
    <w:p w:rsidR="003A631C" w:rsidRDefault="003A631C" w:rsidP="00BA45EC">
      <w:pPr>
        <w:rPr>
          <w:lang w:val="en-US"/>
        </w:rPr>
      </w:pPr>
    </w:p>
    <w:p w:rsidR="003A631C" w:rsidRDefault="003A631C" w:rsidP="003A631C">
      <w:pPr>
        <w:pStyle w:val="5"/>
      </w:pPr>
      <w:r>
        <w:lastRenderedPageBreak/>
        <w:t>Работа с величинами, размер которых превышает 32 бита</w:t>
      </w:r>
    </w:p>
    <w:p w:rsidR="003A631C" w:rsidRDefault="003A631C" w:rsidP="003A631C">
      <w:r>
        <w:t>Базовые типы с длиной более 32 бит, могут передаваться как параметры в процедуру, а также возвр</w:t>
      </w:r>
      <w:r>
        <w:t>а</w:t>
      </w:r>
      <w:r>
        <w:t>щаться при выходе из процедуры. Если для этого используются регистры процессора, то необходимо руководствоваться следующими правилами:</w:t>
      </w:r>
    </w:p>
    <w:p w:rsidR="003A631C" w:rsidRDefault="003A631C" w:rsidP="003A631C">
      <w:r>
        <w:t xml:space="preserve">64-битовые величины должны передаваться в парах регистров </w:t>
      </w:r>
      <w:r w:rsidRPr="003A631C">
        <w:t>(</w:t>
      </w:r>
      <w:r>
        <w:rPr>
          <w:lang w:val="en-US"/>
        </w:rPr>
        <w:t>r</w:t>
      </w:r>
      <w:r>
        <w:t xml:space="preserve">0, </w:t>
      </w:r>
      <w:r>
        <w:rPr>
          <w:lang w:val="en-US"/>
        </w:rPr>
        <w:t>r</w:t>
      </w:r>
      <w:r>
        <w:t>1)</w:t>
      </w:r>
      <w:r w:rsidRPr="003A631C">
        <w:t xml:space="preserve"> </w:t>
      </w:r>
      <w:r>
        <w:t xml:space="preserve"> или (</w:t>
      </w:r>
      <w:r>
        <w:rPr>
          <w:lang w:val="en-US"/>
        </w:rPr>
        <w:t>r</w:t>
      </w:r>
      <w:r w:rsidRPr="003A631C">
        <w:t xml:space="preserve">2, </w:t>
      </w:r>
      <w:r>
        <w:rPr>
          <w:lang w:val="en-US"/>
        </w:rPr>
        <w:t>r</w:t>
      </w:r>
      <w:r w:rsidRPr="003A631C">
        <w:t xml:space="preserve">3) </w:t>
      </w:r>
      <w:r>
        <w:t xml:space="preserve"> так, как если бы эти регистры были загружены одной командой </w:t>
      </w:r>
      <w:r>
        <w:rPr>
          <w:lang w:val="en-US"/>
        </w:rPr>
        <w:t>LDM</w:t>
      </w:r>
      <w:r>
        <w:t>.</w:t>
      </w:r>
    </w:p>
    <w:p w:rsidR="003A631C" w:rsidRDefault="003A631C" w:rsidP="003A631C">
      <w:r>
        <w:t>128-битовая величина может передаваться через четверку регистров (</w:t>
      </w:r>
      <w:r>
        <w:rPr>
          <w:lang w:val="en-US"/>
        </w:rPr>
        <w:t>r</w:t>
      </w:r>
      <w:r w:rsidRPr="003A631C">
        <w:t>0,…</w:t>
      </w:r>
      <w:r>
        <w:rPr>
          <w:lang w:val="en-US"/>
        </w:rPr>
        <w:t>r</w:t>
      </w:r>
      <w:r w:rsidRPr="003A631C">
        <w:t xml:space="preserve">3) </w:t>
      </w:r>
      <w:r>
        <w:t>так, как если бы эти рег</w:t>
      </w:r>
      <w:r>
        <w:t>и</w:t>
      </w:r>
      <w:r>
        <w:t xml:space="preserve">стры были загружены из памяти одной командой </w:t>
      </w:r>
      <w:r>
        <w:rPr>
          <w:lang w:val="en-US"/>
        </w:rPr>
        <w:t>LDM</w:t>
      </w:r>
      <w:r>
        <w:t>.</w:t>
      </w:r>
    </w:p>
    <w:p w:rsidR="003A631C" w:rsidRDefault="003A631C" w:rsidP="003A631C"/>
    <w:p w:rsidR="003A631C" w:rsidRDefault="00143C3E" w:rsidP="003A631C">
      <w:pPr>
        <w:pStyle w:val="3"/>
      </w:pPr>
      <w:r>
        <w:t xml:space="preserve">5.2 </w:t>
      </w:r>
      <w:r w:rsidR="003A631C">
        <w:t>Процессы, память и стек.</w:t>
      </w:r>
    </w:p>
    <w:p w:rsidR="003A631C" w:rsidRPr="003A631C" w:rsidRDefault="003A631C" w:rsidP="003A631C">
      <w:r>
        <w:t>Стандарт вызова процедур применим  к одному единственному потоку исполняемых команд(</w:t>
      </w:r>
      <w:r w:rsidR="00D91D71">
        <w:t xml:space="preserve">говоря </w:t>
      </w:r>
      <w:r>
        <w:t>о</w:t>
      </w:r>
      <w:r w:rsidR="00D91D71">
        <w:t xml:space="preserve"> таком потоке команд далее</w:t>
      </w:r>
      <w:r>
        <w:t xml:space="preserve"> </w:t>
      </w:r>
      <w:r w:rsidR="00D91D71">
        <w:t>будет использоваться термин «процесс»). Процесс характеризуется текущим состоянием (контекстом), который определяется содержимым</w:t>
      </w:r>
      <w:r w:rsidR="0056619F">
        <w:t xml:space="preserve"> регистров процессора и содержимым о</w:t>
      </w:r>
      <w:r w:rsidR="0056619F">
        <w:t>б</w:t>
      </w:r>
      <w:r w:rsidR="0056619F">
        <w:t>ластей памяти, к которым имеет доступ код процесса. Размер и положение доступных областей памяти (при доступе к которым не возникает исключительной ситуации, т.е. не срабатывают аппаратные мех</w:t>
      </w:r>
      <w:r w:rsidR="0056619F">
        <w:t>а</w:t>
      </w:r>
      <w:r w:rsidR="0056619F">
        <w:t>низмы защиты) могут изменяться в процессе исполнения кода, принадлежащего процессу.</w:t>
      </w:r>
    </w:p>
    <w:p w:rsidR="003A631C" w:rsidRDefault="0056619F" w:rsidP="003A631C">
      <w:r>
        <w:t>Области памяти, доступные процессу, подразделяют на следующие пять категорий/разновидностей:</w:t>
      </w:r>
    </w:p>
    <w:p w:rsidR="003A631C" w:rsidRDefault="002F7725" w:rsidP="002F7725">
      <w:pPr>
        <w:pStyle w:val="a9"/>
        <w:numPr>
          <w:ilvl w:val="0"/>
          <w:numId w:val="23"/>
        </w:numPr>
      </w:pPr>
      <w:r>
        <w:t>Область кода, которая должна быть доступна по чтению (на этапе выборки команды), но не обяз</w:t>
      </w:r>
      <w:r>
        <w:t>а</w:t>
      </w:r>
      <w:r>
        <w:t>тельно – по записи. Даже наоборот, недоступность по записи предотвращает случайное повреждение программы.</w:t>
      </w:r>
    </w:p>
    <w:p w:rsidR="003A631C" w:rsidRDefault="00B64778" w:rsidP="002F7725">
      <w:pPr>
        <w:pStyle w:val="a9"/>
        <w:numPr>
          <w:ilvl w:val="0"/>
          <w:numId w:val="23"/>
        </w:numPr>
      </w:pPr>
      <w:r>
        <w:t>Статических (константных) данных</w:t>
      </w:r>
      <w:r w:rsidR="002F7725">
        <w:t xml:space="preserve">, </w:t>
      </w:r>
      <w:r>
        <w:t>которая доступна</w:t>
      </w:r>
      <w:r w:rsidR="002F7725">
        <w:t xml:space="preserve"> только по чтению. Такие элементы данных обычно помещают в исполняемый файл, который формируется во время трансляции. При загрузке код и константные данные загружаются в память. Некоторые из этих константных данных предста</w:t>
      </w:r>
      <w:r w:rsidR="002F7725">
        <w:t>в</w:t>
      </w:r>
      <w:r w:rsidR="002F7725">
        <w:t>ляют собой инициализирующие значения переменных.</w:t>
      </w:r>
      <w:r>
        <w:t xml:space="preserve"> </w:t>
      </w:r>
    </w:p>
    <w:p w:rsidR="002F7725" w:rsidRDefault="002F7725" w:rsidP="002F7725">
      <w:pPr>
        <w:pStyle w:val="a9"/>
        <w:numPr>
          <w:ilvl w:val="0"/>
          <w:numId w:val="23"/>
        </w:numPr>
      </w:pPr>
      <w:r>
        <w:t xml:space="preserve">Данные, доступные программе, как по чтению, так и по записи (т.е. обычные переменные). Если программист инициализировал некоторые из переменных одновременно с </w:t>
      </w:r>
      <w:r w:rsidR="00B64778">
        <w:t>определением, то комп</w:t>
      </w:r>
      <w:r w:rsidR="00B64778">
        <w:t>и</w:t>
      </w:r>
      <w:r w:rsidR="00B64778">
        <w:t>лятор помещает инициализирующие значения в область (2) и в «прологе» (это код, который выпо</w:t>
      </w:r>
      <w:r w:rsidR="00B64778">
        <w:t>л</w:t>
      </w:r>
      <w:r w:rsidR="00B64778">
        <w:t xml:space="preserve">няется до </w:t>
      </w:r>
      <w:r w:rsidR="00B64778">
        <w:rPr>
          <w:lang w:val="en-US"/>
        </w:rPr>
        <w:t>main</w:t>
      </w:r>
      <w:r w:rsidR="00B64778" w:rsidRPr="00B64778">
        <w:t xml:space="preserve">) </w:t>
      </w:r>
      <w:r w:rsidR="00B64778">
        <w:t>копирует эти значения из области (2) в область (3) – т.е. присваивает переменным начальные значения.</w:t>
      </w:r>
    </w:p>
    <w:p w:rsidR="00B64778" w:rsidRDefault="00B64778" w:rsidP="002F7725">
      <w:pPr>
        <w:pStyle w:val="a9"/>
        <w:numPr>
          <w:ilvl w:val="0"/>
          <w:numId w:val="23"/>
        </w:numPr>
      </w:pPr>
      <w:r>
        <w:t>Область динамически распределяемой памяти (</w:t>
      </w:r>
      <w:r>
        <w:rPr>
          <w:lang w:val="en-US"/>
        </w:rPr>
        <w:t>heap</w:t>
      </w:r>
      <w:r w:rsidRPr="00B64778">
        <w:t>)</w:t>
      </w:r>
      <w:r>
        <w:t xml:space="preserve">. </w:t>
      </w:r>
    </w:p>
    <w:p w:rsidR="00B64778" w:rsidRPr="003A631C" w:rsidRDefault="00B64778" w:rsidP="002F7725">
      <w:pPr>
        <w:pStyle w:val="a9"/>
        <w:numPr>
          <w:ilvl w:val="0"/>
          <w:numId w:val="23"/>
        </w:numPr>
      </w:pPr>
      <w:r>
        <w:t>Область стека</w:t>
      </w:r>
    </w:p>
    <w:p w:rsidR="00D5211B" w:rsidRDefault="00B64778" w:rsidP="00BA45EC">
      <w:r>
        <w:t>Доступность областей кода и константных данных «только по чтению» может быть обеспечена либо и</w:t>
      </w:r>
      <w:r>
        <w:t>с</w:t>
      </w:r>
      <w:r>
        <w:t>пользованием «постоянной» памяти, либо использованием аппаратных механизмов ограничения дост</w:t>
      </w:r>
      <w:r>
        <w:t>у</w:t>
      </w:r>
      <w:r>
        <w:t>па.</w:t>
      </w:r>
    </w:p>
    <w:p w:rsidR="0056619F" w:rsidRDefault="0056619F" w:rsidP="00BA45EC"/>
    <w:p w:rsidR="0056619F" w:rsidRDefault="00143C3E" w:rsidP="00143C3E">
      <w:pPr>
        <w:pStyle w:val="4"/>
      </w:pPr>
      <w:r>
        <w:t xml:space="preserve">5.2.1  </w:t>
      </w:r>
      <w:r w:rsidR="00F24FEB">
        <w:t>Стек</w:t>
      </w:r>
    </w:p>
    <w:p w:rsidR="0056619F" w:rsidRDefault="00F24FEB" w:rsidP="00BA45EC">
      <w:r>
        <w:t xml:space="preserve">Стек должен занимать обязательно непрерывную область в пространстве адресов. </w:t>
      </w:r>
      <w:r w:rsidR="0069305A">
        <w:t xml:space="preserve">Стек </w:t>
      </w:r>
      <w:r>
        <w:t>используется для передачи параметров в процедуру (но не для возврата результата). Кроме того, в стеке выделяется место для локальных переменных процедуры (имеющих ограниченное время существова</w:t>
      </w:r>
      <w:r w:rsidR="0069305A">
        <w:t>ния).</w:t>
      </w:r>
    </w:p>
    <w:p w:rsidR="00F24FEB" w:rsidRPr="0012026D" w:rsidRDefault="0069305A" w:rsidP="00BA45EC">
      <w:r>
        <w:t xml:space="preserve">В архитектуре </w:t>
      </w:r>
      <w:r>
        <w:rPr>
          <w:lang w:val="en-US"/>
        </w:rPr>
        <w:t>ARM</w:t>
      </w:r>
      <w:r>
        <w:t xml:space="preserve"> стек растет в сторону уменьшения адресов, а указатель стека </w:t>
      </w:r>
      <w:r w:rsidR="0012026D">
        <w:rPr>
          <w:lang w:val="en-US"/>
        </w:rPr>
        <w:t>R</w:t>
      </w:r>
      <w:r w:rsidR="0012026D" w:rsidRPr="0012026D">
        <w:t>13</w:t>
      </w:r>
      <w:r w:rsidR="0012026D">
        <w:t xml:space="preserve"> </w:t>
      </w:r>
      <w:r>
        <w:t>содержит адрес последнего занятого элемента</w:t>
      </w:r>
      <w:r w:rsidR="0012026D">
        <w:t xml:space="preserve"> (</w:t>
      </w:r>
      <w:r w:rsidR="0012026D">
        <w:rPr>
          <w:lang w:val="en-US"/>
        </w:rPr>
        <w:t>full</w:t>
      </w:r>
      <w:r w:rsidR="0012026D" w:rsidRPr="0012026D">
        <w:t>-</w:t>
      </w:r>
      <w:r w:rsidR="0012026D">
        <w:rPr>
          <w:lang w:val="en-US"/>
        </w:rPr>
        <w:t>descending</w:t>
      </w:r>
      <w:r w:rsidR="0012026D" w:rsidRPr="0012026D">
        <w:t xml:space="preserve"> </w:t>
      </w:r>
      <w:r w:rsidR="0012026D">
        <w:rPr>
          <w:lang w:val="en-US"/>
        </w:rPr>
        <w:t>stack</w:t>
      </w:r>
      <w:r w:rsidR="0012026D" w:rsidRPr="0012026D">
        <w:t xml:space="preserve">). </w:t>
      </w:r>
      <w:r w:rsidR="0012026D">
        <w:t xml:space="preserve">Для стека (должны быть) определены его </w:t>
      </w:r>
      <w:r w:rsidR="0012026D">
        <w:rPr>
          <w:i/>
        </w:rPr>
        <w:t>база</w:t>
      </w:r>
      <w:r w:rsidR="0012026D">
        <w:t xml:space="preserve"> </w:t>
      </w:r>
      <w:r w:rsidR="00143C3E">
        <w:t>(</w:t>
      </w:r>
      <w:r w:rsidR="00143C3E">
        <w:rPr>
          <w:i/>
          <w:lang w:val="en-US"/>
        </w:rPr>
        <w:t>stack</w:t>
      </w:r>
      <w:r w:rsidR="00143C3E" w:rsidRPr="00143C3E">
        <w:rPr>
          <w:i/>
        </w:rPr>
        <w:t>-</w:t>
      </w:r>
      <w:r w:rsidR="00143C3E">
        <w:rPr>
          <w:i/>
          <w:lang w:val="en-US"/>
        </w:rPr>
        <w:t>base</w:t>
      </w:r>
      <w:r w:rsidR="00143C3E">
        <w:t>)</w:t>
      </w:r>
      <w:r w:rsidR="00143C3E" w:rsidRPr="00143C3E">
        <w:t xml:space="preserve"> </w:t>
      </w:r>
      <w:r w:rsidR="00143C3E" w:rsidRPr="00143C3E">
        <w:noBreakHyphen/>
        <w:t xml:space="preserve"> </w:t>
      </w:r>
      <w:r w:rsidR="0012026D">
        <w:t xml:space="preserve">начальный адрес или </w:t>
      </w:r>
      <w:r w:rsidR="0012026D">
        <w:rPr>
          <w:i/>
        </w:rPr>
        <w:t>дно стека</w:t>
      </w:r>
      <w:r w:rsidR="00143C3E">
        <w:t>,</w:t>
      </w:r>
      <w:r w:rsidR="0012026D">
        <w:t xml:space="preserve"> и </w:t>
      </w:r>
      <w:r w:rsidR="00143C3E">
        <w:rPr>
          <w:i/>
        </w:rPr>
        <w:t>верхняя граница области стека</w:t>
      </w:r>
      <w:r w:rsidR="0012026D">
        <w:t xml:space="preserve"> (</w:t>
      </w:r>
      <w:r w:rsidR="00143C3E" w:rsidRPr="00143C3E">
        <w:rPr>
          <w:i/>
          <w:lang w:val="en-US"/>
        </w:rPr>
        <w:t>stack</w:t>
      </w:r>
      <w:r w:rsidR="00143C3E" w:rsidRPr="00143C3E">
        <w:rPr>
          <w:i/>
        </w:rPr>
        <w:t>-</w:t>
      </w:r>
      <w:r w:rsidR="0012026D" w:rsidRPr="0012026D">
        <w:rPr>
          <w:i/>
          <w:lang w:val="en-US"/>
        </w:rPr>
        <w:t>limit</w:t>
      </w:r>
      <w:r w:rsidR="0012026D">
        <w:t>), хотя пр</w:t>
      </w:r>
      <w:r w:rsidR="0012026D">
        <w:t>и</w:t>
      </w:r>
      <w:r w:rsidR="0012026D">
        <w:t>кладная программа может не иметь возмож</w:t>
      </w:r>
      <w:r w:rsidR="00143C3E">
        <w:t>ности</w:t>
      </w:r>
      <w:r w:rsidR="0012026D">
        <w:t xml:space="preserve"> определить каждую из этих величин.</w:t>
      </w:r>
    </w:p>
    <w:p w:rsidR="00F24FEB" w:rsidRDefault="00143C3E" w:rsidP="00BA45EC">
      <w:r>
        <w:t xml:space="preserve">Стек может иметь фиксированный размер, либо быть динамически расширяемым, путем уменьшения значения </w:t>
      </w:r>
      <w:r w:rsidRPr="00143C3E">
        <w:rPr>
          <w:i/>
          <w:lang w:val="en-US"/>
        </w:rPr>
        <w:t>stack</w:t>
      </w:r>
      <w:r w:rsidRPr="00143C3E">
        <w:rPr>
          <w:i/>
        </w:rPr>
        <w:t>-</w:t>
      </w:r>
      <w:r w:rsidRPr="0012026D">
        <w:rPr>
          <w:i/>
          <w:lang w:val="en-US"/>
        </w:rPr>
        <w:t>limit</w:t>
      </w:r>
      <w:r>
        <w:t>.</w:t>
      </w:r>
    </w:p>
    <w:p w:rsidR="00F24FEB" w:rsidRPr="000C3467" w:rsidRDefault="00143C3E" w:rsidP="00BA45EC">
      <w:pPr>
        <w:rPr>
          <w:i/>
        </w:rPr>
      </w:pPr>
      <w:r>
        <w:t xml:space="preserve">Правила обращения со стеком включают две части: </w:t>
      </w:r>
      <w:r w:rsidR="000C3467">
        <w:br/>
        <w:t>а) универсальные (действующие в любых обстоятельствах)</w:t>
      </w:r>
      <w:r w:rsidR="000C3467">
        <w:br/>
        <w:t xml:space="preserve">б) которые должны соблюдаться при разработке/использовании </w:t>
      </w:r>
      <w:r w:rsidR="000C3467">
        <w:rPr>
          <w:i/>
        </w:rPr>
        <w:t>внешних интерфейсов (</w:t>
      </w:r>
      <w:r w:rsidR="000C3467">
        <w:rPr>
          <w:i/>
          <w:lang w:val="en-US"/>
        </w:rPr>
        <w:t>public</w:t>
      </w:r>
      <w:r w:rsidR="000C3467" w:rsidRPr="000C3467">
        <w:rPr>
          <w:i/>
        </w:rPr>
        <w:t xml:space="preserve"> </w:t>
      </w:r>
      <w:r w:rsidR="000C3467">
        <w:rPr>
          <w:i/>
          <w:lang w:val="en-US"/>
        </w:rPr>
        <w:t>interface</w:t>
      </w:r>
      <w:r w:rsidR="000C3467">
        <w:rPr>
          <w:i/>
        </w:rPr>
        <w:t>)</w:t>
      </w:r>
    </w:p>
    <w:p w:rsidR="00F24FEB" w:rsidRDefault="00F24FEB" w:rsidP="00BA45EC"/>
    <w:p w:rsidR="0056619F" w:rsidRDefault="0056619F" w:rsidP="00BA45EC"/>
    <w:p w:rsidR="00143C3E" w:rsidRDefault="00143C3E" w:rsidP="00BA45EC"/>
    <w:p w:rsidR="00143C3E" w:rsidRDefault="00143C3E" w:rsidP="00143C3E">
      <w:pPr>
        <w:pStyle w:val="5"/>
      </w:pPr>
      <w:r>
        <w:t>5.2.1.2   Универсальные ограничения на параметры стека</w:t>
      </w:r>
    </w:p>
    <w:p w:rsidR="00143C3E" w:rsidRDefault="00143C3E" w:rsidP="00143C3E">
      <w:r>
        <w:t>В любой момент выполнения:</w:t>
      </w:r>
    </w:p>
    <w:p w:rsidR="00143C3E" w:rsidRDefault="00143C3E" w:rsidP="00FD288F">
      <w:pPr>
        <w:pStyle w:val="a9"/>
        <w:numPr>
          <w:ilvl w:val="0"/>
          <w:numId w:val="22"/>
        </w:numPr>
      </w:pPr>
      <w:r w:rsidRPr="00FD288F">
        <w:rPr>
          <w:i/>
        </w:rPr>
        <w:t>stack-limit</w:t>
      </w:r>
      <w:r w:rsidRPr="00FD288F">
        <w:t xml:space="preserve"> &lt; SP &lt;=</w:t>
      </w:r>
      <w:r w:rsidR="00FD288F" w:rsidRPr="00FD288F">
        <w:t xml:space="preserve"> </w:t>
      </w:r>
      <w:r w:rsidR="00FD288F" w:rsidRPr="00FD288F">
        <w:rPr>
          <w:i/>
        </w:rPr>
        <w:t>stack-base</w:t>
      </w:r>
      <w:r w:rsidR="00FD288F" w:rsidRPr="00FD288F">
        <w:t xml:space="preserve">  , </w:t>
      </w:r>
      <w:r w:rsidR="00FD288F">
        <w:t>т</w:t>
      </w:r>
      <w:r w:rsidR="00FD288F" w:rsidRPr="00FD288F">
        <w:t>.</w:t>
      </w:r>
      <w:r w:rsidR="00FD288F">
        <w:t>е</w:t>
      </w:r>
      <w:r w:rsidR="00FD288F" w:rsidRPr="00FD288F">
        <w:t xml:space="preserve">. </w:t>
      </w:r>
      <w:r w:rsidR="00FD288F">
        <w:t>указатель стека должен указывать внутрь области стека.</w:t>
      </w:r>
    </w:p>
    <w:p w:rsidR="00FD288F" w:rsidRDefault="00FD288F" w:rsidP="00FD288F">
      <w:pPr>
        <w:pStyle w:val="a9"/>
        <w:numPr>
          <w:ilvl w:val="0"/>
          <w:numId w:val="22"/>
        </w:numPr>
      </w:pPr>
      <w:r w:rsidRPr="00FD288F">
        <w:t xml:space="preserve">SP mod 4 = 0 </w:t>
      </w:r>
      <w:r>
        <w:t>.</w:t>
      </w:r>
      <w:r w:rsidRPr="00FD288F">
        <w:t xml:space="preserve">  </w:t>
      </w:r>
      <w:r>
        <w:t xml:space="preserve">Содержимое указателя стека должно быть кратно 4 (длине </w:t>
      </w:r>
      <w:r w:rsidRPr="00FD288F">
        <w:t>слова</w:t>
      </w:r>
      <w:r>
        <w:t>)</w:t>
      </w:r>
    </w:p>
    <w:p w:rsidR="00FD288F" w:rsidRPr="00FD288F" w:rsidRDefault="00FD288F" w:rsidP="00FD288F">
      <w:pPr>
        <w:pStyle w:val="a9"/>
        <w:numPr>
          <w:ilvl w:val="0"/>
          <w:numId w:val="22"/>
        </w:numPr>
      </w:pPr>
      <w:r>
        <w:t>Процесс может осуществлять доступ (по записи или по чтению) только к области адресов в интерв</w:t>
      </w:r>
      <w:r>
        <w:t>а</w:t>
      </w:r>
      <w:r>
        <w:t xml:space="preserve">ле </w:t>
      </w:r>
      <w:r w:rsidRPr="00FD288F">
        <w:t>[</w:t>
      </w:r>
      <w:r>
        <w:rPr>
          <w:lang w:val="en-US"/>
        </w:rPr>
        <w:t>SP</w:t>
      </w:r>
      <w:r w:rsidRPr="00FD288F">
        <w:t xml:space="preserve">, </w:t>
      </w:r>
      <w:r w:rsidRPr="00FD288F">
        <w:rPr>
          <w:i/>
        </w:rPr>
        <w:t>stack-base</w:t>
      </w:r>
      <w:r w:rsidRPr="00FD288F">
        <w:t>-1]</w:t>
      </w:r>
      <w:r>
        <w:t xml:space="preserve">. Здесь </w:t>
      </w:r>
      <w:r>
        <w:rPr>
          <w:lang w:val="en-US"/>
        </w:rPr>
        <w:t xml:space="preserve">SP </w:t>
      </w:r>
      <w:r>
        <w:t xml:space="preserve">это содержимое регистра </w:t>
      </w:r>
      <w:r>
        <w:rPr>
          <w:lang w:val="en-US"/>
        </w:rPr>
        <w:t>r13.</w:t>
      </w:r>
    </w:p>
    <w:p w:rsidR="00143C3E" w:rsidRDefault="000C3467" w:rsidP="000C3467">
      <w:pPr>
        <w:pStyle w:val="5"/>
      </w:pPr>
      <w:r>
        <w:rPr>
          <w:lang w:val="en-US"/>
        </w:rPr>
        <w:t xml:space="preserve">5.2.1.2. </w:t>
      </w:r>
      <w:r>
        <w:t>Ограничения для внешних интерфейсов</w:t>
      </w:r>
    </w:p>
    <w:p w:rsidR="000C3467" w:rsidRDefault="000C3467" w:rsidP="000C3467">
      <w:pPr>
        <w:pStyle w:val="a9"/>
        <w:numPr>
          <w:ilvl w:val="0"/>
          <w:numId w:val="22"/>
        </w:numPr>
      </w:pPr>
      <w:r>
        <w:t>SP mod 8</w:t>
      </w:r>
      <w:r w:rsidRPr="00FD288F">
        <w:t xml:space="preserve"> = 0 </w:t>
      </w:r>
      <w:r>
        <w:t>.</w:t>
      </w:r>
      <w:r w:rsidRPr="00FD288F">
        <w:t xml:space="preserve">  </w:t>
      </w:r>
      <w:r>
        <w:t>Содержимое указателя стека должно быть кратно 8.</w:t>
      </w:r>
    </w:p>
    <w:p w:rsidR="000C3467" w:rsidRPr="000C3467" w:rsidRDefault="000C3467" w:rsidP="000C3467"/>
    <w:p w:rsidR="00143C3E" w:rsidRDefault="000C3467" w:rsidP="000C3467">
      <w:pPr>
        <w:pStyle w:val="4"/>
      </w:pPr>
      <w:r>
        <w:t>5.3.  Вызов подпрограммы</w:t>
      </w:r>
    </w:p>
    <w:p w:rsidR="000C3467" w:rsidRDefault="00803647" w:rsidP="000C3467">
      <w:r>
        <w:t>В соглашении о вызовах написано гораздо больше, чем в этом коротком резюме на русском. Это потому, что в источнике рассматривается гораздо больше тонкостей и особенностей для нескольких разных а</w:t>
      </w:r>
      <w:r>
        <w:t>р</w:t>
      </w:r>
      <w:r>
        <w:t>хитектурных версий. Когда-нибудь, может быть, поговорим и о тонкостях.</w:t>
      </w:r>
    </w:p>
    <w:p w:rsidR="00803647" w:rsidRPr="00803647" w:rsidRDefault="00803647" w:rsidP="000C3467">
      <w:r>
        <w:t xml:space="preserve">Для вызова подпрограммы с запоминанием адреса возврата в системе команд есть команда </w:t>
      </w:r>
      <w:r>
        <w:rPr>
          <w:lang w:val="en-US"/>
        </w:rPr>
        <w:t>BL</w:t>
      </w:r>
      <w:r w:rsidRPr="00803647">
        <w:t xml:space="preserve"> (</w:t>
      </w:r>
      <w:r>
        <w:t>смотр</w:t>
      </w:r>
      <w:r>
        <w:t>и</w:t>
      </w:r>
      <w:r>
        <w:t xml:space="preserve">те описание в справочнике и не забудьте, что наша архитектурная версия – 4Т). Выполняя эту команду процессор </w:t>
      </w:r>
      <w:r>
        <w:rPr>
          <w:lang w:val="en-US"/>
        </w:rPr>
        <w:t>ARM</w:t>
      </w:r>
      <w:r>
        <w:t xml:space="preserve"> автоматически запоминает адрес возврата в регистре </w:t>
      </w:r>
      <w:r>
        <w:rPr>
          <w:lang w:val="en-US"/>
        </w:rPr>
        <w:t>LR</w:t>
      </w:r>
      <w:r w:rsidRPr="00803647">
        <w:t xml:space="preserve"> (</w:t>
      </w:r>
      <w:r>
        <w:rPr>
          <w:lang w:val="en-US"/>
        </w:rPr>
        <w:t>r</w:t>
      </w:r>
      <w:r w:rsidRPr="00803647">
        <w:t>14)</w:t>
      </w:r>
      <w:r>
        <w:t xml:space="preserve">, после чего загружает в </w:t>
      </w:r>
      <w:r>
        <w:rPr>
          <w:lang w:val="en-US"/>
        </w:rPr>
        <w:t>PC</w:t>
      </w:r>
      <w:r w:rsidRPr="00803647">
        <w:t xml:space="preserve"> </w:t>
      </w:r>
      <w:r>
        <w:t xml:space="preserve">адрес первой команды подпрограммы (этот адрес </w:t>
      </w:r>
      <w:r w:rsidR="008B155F">
        <w:t>получается в результате коррекции содержимого счетчика команд при выполнении команды вызова ПП).</w:t>
      </w:r>
    </w:p>
    <w:p w:rsidR="000C3467" w:rsidRDefault="008B155F" w:rsidP="00143C3E">
      <w:r>
        <w:t xml:space="preserve">Для передачи параметров в ПП используются регистры </w:t>
      </w:r>
      <w:r>
        <w:rPr>
          <w:lang w:val="en-US"/>
        </w:rPr>
        <w:t>r</w:t>
      </w:r>
      <w:r w:rsidRPr="008B155F">
        <w:t xml:space="preserve">0 – </w:t>
      </w:r>
      <w:r>
        <w:rPr>
          <w:lang w:val="en-US"/>
        </w:rPr>
        <w:t>r</w:t>
      </w:r>
      <w:r w:rsidRPr="008B155F">
        <w:t>3</w:t>
      </w:r>
      <w:r>
        <w:t xml:space="preserve"> (может быть, только некоторые из них). Это означает, что к моменту вызова ПП те из перечисленных регистров, которые используются для п</w:t>
      </w:r>
      <w:r>
        <w:t>е</w:t>
      </w:r>
      <w:r>
        <w:t>редачи параметров, должны быть освобождены.</w:t>
      </w:r>
    </w:p>
    <w:p w:rsidR="008B155F" w:rsidRPr="008B155F" w:rsidRDefault="008B155F" w:rsidP="00143C3E">
      <w:r>
        <w:t>В этих же регистрах (или в некоторых из них принято возвращать из ПП результат). Если параметров много (не помещаются в указанных четырех регистрах), то оставшаяся часть параметров должна пер</w:t>
      </w:r>
      <w:r>
        <w:t>е</w:t>
      </w:r>
      <w:r>
        <w:t>даваться через стек.</w:t>
      </w:r>
    </w:p>
    <w:p w:rsidR="000C3467" w:rsidRDefault="008B155F" w:rsidP="00143C3E">
      <w:r>
        <w:t>Для параметров различных типов указывается, где именно и как именно эти параметры должны разм</w:t>
      </w:r>
      <w:r>
        <w:t>е</w:t>
      </w:r>
      <w:r>
        <w:t>щаться в регистрах, или, каким образом (в каком регистре или регистрах и в каком порядке) должно размещаться возвращаемое подпрограммой значение.</w:t>
      </w:r>
    </w:p>
    <w:p w:rsidR="000C3467" w:rsidRPr="00FD288F" w:rsidRDefault="000C3467" w:rsidP="00143C3E"/>
    <w:p w:rsidR="00143C3E" w:rsidRPr="00FD288F" w:rsidRDefault="00143C3E" w:rsidP="00143C3E"/>
    <w:sectPr w:rsidR="00143C3E" w:rsidRPr="00FD288F" w:rsidSect="00BA45EC">
      <w:type w:val="continuous"/>
      <w:pgSz w:w="11907" w:h="16840" w:code="9"/>
      <w:pgMar w:top="907" w:right="851" w:bottom="907" w:left="1134" w:header="720" w:footer="720" w:gutter="0"/>
      <w:paperSrc w:first="7" w:other="7"/>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617" w:rsidRDefault="00A37617" w:rsidP="001044CD">
      <w:pPr>
        <w:spacing w:after="0"/>
      </w:pPr>
      <w:r>
        <w:separator/>
      </w:r>
    </w:p>
  </w:endnote>
  <w:endnote w:type="continuationSeparator" w:id="0">
    <w:p w:rsidR="00A37617" w:rsidRDefault="00A37617" w:rsidP="00104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617" w:rsidRDefault="00A37617" w:rsidP="001044CD">
      <w:pPr>
        <w:spacing w:after="0"/>
      </w:pPr>
      <w:r>
        <w:separator/>
      </w:r>
    </w:p>
  </w:footnote>
  <w:footnote w:type="continuationSeparator" w:id="0">
    <w:p w:rsidR="00A37617" w:rsidRDefault="00A37617" w:rsidP="001044C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D6D905"/>
    <w:multiLevelType w:val="hybridMultilevel"/>
    <w:tmpl w:val="73BBC61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D17B54"/>
    <w:multiLevelType w:val="hybridMultilevel"/>
    <w:tmpl w:val="292AA73E"/>
    <w:lvl w:ilvl="0" w:tplc="04190011">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13F2560A"/>
    <w:multiLevelType w:val="singleLevel"/>
    <w:tmpl w:val="0419000F"/>
    <w:lvl w:ilvl="0">
      <w:start w:val="1"/>
      <w:numFmt w:val="decimal"/>
      <w:lvlText w:val="%1."/>
      <w:lvlJc w:val="left"/>
      <w:pPr>
        <w:tabs>
          <w:tab w:val="num" w:pos="360"/>
        </w:tabs>
        <w:ind w:left="360" w:hanging="360"/>
      </w:pPr>
      <w:rPr>
        <w:rFonts w:hint="default"/>
      </w:rPr>
    </w:lvl>
  </w:abstractNum>
  <w:abstractNum w:abstractNumId="3">
    <w:nsid w:val="1EA9619A"/>
    <w:multiLevelType w:val="hybridMultilevel"/>
    <w:tmpl w:val="5E402850"/>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nsid w:val="1EAA1750"/>
    <w:multiLevelType w:val="hybridMultilevel"/>
    <w:tmpl w:val="F8BE2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653192"/>
    <w:multiLevelType w:val="hybridMultilevel"/>
    <w:tmpl w:val="CB2291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C805E85"/>
    <w:multiLevelType w:val="hybridMultilevel"/>
    <w:tmpl w:val="DDF23DC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26C0B3C"/>
    <w:multiLevelType w:val="hybridMultilevel"/>
    <w:tmpl w:val="421E00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0077CDA"/>
    <w:multiLevelType w:val="hybridMultilevel"/>
    <w:tmpl w:val="EFC01F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4500EB"/>
    <w:multiLevelType w:val="hybridMultilevel"/>
    <w:tmpl w:val="D5C6CD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E694642"/>
    <w:multiLevelType w:val="hybridMultilevel"/>
    <w:tmpl w:val="43765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7E82CE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8649A1"/>
    <w:multiLevelType w:val="hybridMultilevel"/>
    <w:tmpl w:val="59A45004"/>
    <w:lvl w:ilvl="0" w:tplc="04190011">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5F811296"/>
    <w:multiLevelType w:val="hybridMultilevel"/>
    <w:tmpl w:val="82BE33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60154F2B"/>
    <w:multiLevelType w:val="hybridMultilevel"/>
    <w:tmpl w:val="CB4E022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63FAD8F0"/>
    <w:multiLevelType w:val="hybridMultilevel"/>
    <w:tmpl w:val="9CA9C83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8722338"/>
    <w:multiLevelType w:val="hybridMultilevel"/>
    <w:tmpl w:val="C7080F3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702D46F3"/>
    <w:multiLevelType w:val="hybridMultilevel"/>
    <w:tmpl w:val="11CAEC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72FF69C4"/>
    <w:multiLevelType w:val="singleLevel"/>
    <w:tmpl w:val="0419000F"/>
    <w:lvl w:ilvl="0">
      <w:start w:val="1"/>
      <w:numFmt w:val="decimal"/>
      <w:lvlText w:val="%1."/>
      <w:lvlJc w:val="left"/>
      <w:pPr>
        <w:tabs>
          <w:tab w:val="num" w:pos="360"/>
        </w:tabs>
        <w:ind w:left="360" w:hanging="360"/>
      </w:pPr>
      <w:rPr>
        <w:rFonts w:hint="default"/>
      </w:rPr>
    </w:lvl>
  </w:abstractNum>
  <w:abstractNum w:abstractNumId="19">
    <w:nsid w:val="79CF56DE"/>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A044B05"/>
    <w:multiLevelType w:val="hybridMultilevel"/>
    <w:tmpl w:val="7E6ED6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7D0D27FE"/>
    <w:multiLevelType w:val="hybridMultilevel"/>
    <w:tmpl w:val="07F8F0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E7E6D4B"/>
    <w:multiLevelType w:val="hybridMultilevel"/>
    <w:tmpl w:val="4600C90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8"/>
  </w:num>
  <w:num w:numId="2">
    <w:abstractNumId w:val="2"/>
  </w:num>
  <w:num w:numId="3">
    <w:abstractNumId w:val="22"/>
  </w:num>
  <w:num w:numId="4">
    <w:abstractNumId w:val="14"/>
  </w:num>
  <w:num w:numId="5">
    <w:abstractNumId w:val="13"/>
  </w:num>
  <w:num w:numId="6">
    <w:abstractNumId w:val="19"/>
  </w:num>
  <w:num w:numId="7">
    <w:abstractNumId w:val="21"/>
  </w:num>
  <w:num w:numId="8">
    <w:abstractNumId w:val="12"/>
  </w:num>
  <w:num w:numId="9">
    <w:abstractNumId w:val="3"/>
  </w:num>
  <w:num w:numId="10">
    <w:abstractNumId w:val="9"/>
  </w:num>
  <w:num w:numId="11">
    <w:abstractNumId w:val="5"/>
  </w:num>
  <w:num w:numId="12">
    <w:abstractNumId w:val="11"/>
  </w:num>
  <w:num w:numId="13">
    <w:abstractNumId w:val="17"/>
  </w:num>
  <w:num w:numId="14">
    <w:abstractNumId w:val="4"/>
  </w:num>
  <w:num w:numId="15">
    <w:abstractNumId w:val="10"/>
  </w:num>
  <w:num w:numId="16">
    <w:abstractNumId w:val="8"/>
  </w:num>
  <w:num w:numId="17">
    <w:abstractNumId w:val="7"/>
  </w:num>
  <w:num w:numId="18">
    <w:abstractNumId w:val="6"/>
  </w:num>
  <w:num w:numId="19">
    <w:abstractNumId w:val="16"/>
  </w:num>
  <w:num w:numId="20">
    <w:abstractNumId w:val="15"/>
  </w:num>
  <w:num w:numId="21">
    <w:abstractNumId w:val="0"/>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44"/>
    <w:rsid w:val="00005CEA"/>
    <w:rsid w:val="000535E9"/>
    <w:rsid w:val="000630B4"/>
    <w:rsid w:val="000804BD"/>
    <w:rsid w:val="000861D4"/>
    <w:rsid w:val="000C1E85"/>
    <w:rsid w:val="000C3467"/>
    <w:rsid w:val="000F0402"/>
    <w:rsid w:val="001044CD"/>
    <w:rsid w:val="00105EA3"/>
    <w:rsid w:val="0012026D"/>
    <w:rsid w:val="00143C3E"/>
    <w:rsid w:val="00161220"/>
    <w:rsid w:val="00176367"/>
    <w:rsid w:val="001A16AC"/>
    <w:rsid w:val="001A1840"/>
    <w:rsid w:val="001B234E"/>
    <w:rsid w:val="001C4860"/>
    <w:rsid w:val="001D5378"/>
    <w:rsid w:val="001E103F"/>
    <w:rsid w:val="001E12D3"/>
    <w:rsid w:val="001F1823"/>
    <w:rsid w:val="00203D95"/>
    <w:rsid w:val="002302EE"/>
    <w:rsid w:val="00232527"/>
    <w:rsid w:val="0024374E"/>
    <w:rsid w:val="00257B44"/>
    <w:rsid w:val="00257BBD"/>
    <w:rsid w:val="00267764"/>
    <w:rsid w:val="002978C7"/>
    <w:rsid w:val="002A2076"/>
    <w:rsid w:val="002A546F"/>
    <w:rsid w:val="002B003C"/>
    <w:rsid w:val="002C009A"/>
    <w:rsid w:val="002C20C3"/>
    <w:rsid w:val="002C5F52"/>
    <w:rsid w:val="002F7725"/>
    <w:rsid w:val="003057AA"/>
    <w:rsid w:val="00311A53"/>
    <w:rsid w:val="00313C73"/>
    <w:rsid w:val="00330DD7"/>
    <w:rsid w:val="00367744"/>
    <w:rsid w:val="003678C7"/>
    <w:rsid w:val="00375F99"/>
    <w:rsid w:val="003772C4"/>
    <w:rsid w:val="0039050C"/>
    <w:rsid w:val="003A0E83"/>
    <w:rsid w:val="003A631C"/>
    <w:rsid w:val="003B53A5"/>
    <w:rsid w:val="003C0C09"/>
    <w:rsid w:val="003F1A4B"/>
    <w:rsid w:val="004125D6"/>
    <w:rsid w:val="00416862"/>
    <w:rsid w:val="00440EF1"/>
    <w:rsid w:val="00450246"/>
    <w:rsid w:val="0045378B"/>
    <w:rsid w:val="00455EE3"/>
    <w:rsid w:val="00457D87"/>
    <w:rsid w:val="0046537D"/>
    <w:rsid w:val="00477409"/>
    <w:rsid w:val="004A4AB8"/>
    <w:rsid w:val="004B1A84"/>
    <w:rsid w:val="004D2E08"/>
    <w:rsid w:val="004D52E3"/>
    <w:rsid w:val="004E00F9"/>
    <w:rsid w:val="00531C2D"/>
    <w:rsid w:val="00541A59"/>
    <w:rsid w:val="00542649"/>
    <w:rsid w:val="00557767"/>
    <w:rsid w:val="0056619F"/>
    <w:rsid w:val="0057473F"/>
    <w:rsid w:val="00576E5D"/>
    <w:rsid w:val="0059338A"/>
    <w:rsid w:val="005A67C6"/>
    <w:rsid w:val="005A7C97"/>
    <w:rsid w:val="005C41AE"/>
    <w:rsid w:val="005D057E"/>
    <w:rsid w:val="005D527E"/>
    <w:rsid w:val="005E3932"/>
    <w:rsid w:val="005F1F1D"/>
    <w:rsid w:val="005F51FF"/>
    <w:rsid w:val="0060137F"/>
    <w:rsid w:val="00607029"/>
    <w:rsid w:val="00634075"/>
    <w:rsid w:val="00634666"/>
    <w:rsid w:val="006529BA"/>
    <w:rsid w:val="0065592A"/>
    <w:rsid w:val="006608CF"/>
    <w:rsid w:val="00663666"/>
    <w:rsid w:val="006811C2"/>
    <w:rsid w:val="006820C3"/>
    <w:rsid w:val="0069305A"/>
    <w:rsid w:val="006B438D"/>
    <w:rsid w:val="006B4D21"/>
    <w:rsid w:val="006C0B11"/>
    <w:rsid w:val="007010B1"/>
    <w:rsid w:val="0073751F"/>
    <w:rsid w:val="007418C0"/>
    <w:rsid w:val="00742B5F"/>
    <w:rsid w:val="007B16C3"/>
    <w:rsid w:val="00801D2C"/>
    <w:rsid w:val="00803647"/>
    <w:rsid w:val="00811927"/>
    <w:rsid w:val="008377DD"/>
    <w:rsid w:val="008400F8"/>
    <w:rsid w:val="00896A57"/>
    <w:rsid w:val="008B155F"/>
    <w:rsid w:val="008B7C29"/>
    <w:rsid w:val="008C0EE9"/>
    <w:rsid w:val="008D1249"/>
    <w:rsid w:val="008F746E"/>
    <w:rsid w:val="009074B8"/>
    <w:rsid w:val="0091147F"/>
    <w:rsid w:val="0097100B"/>
    <w:rsid w:val="00971096"/>
    <w:rsid w:val="009A33F6"/>
    <w:rsid w:val="009B420C"/>
    <w:rsid w:val="009D453F"/>
    <w:rsid w:val="009E17F8"/>
    <w:rsid w:val="00A121F6"/>
    <w:rsid w:val="00A37617"/>
    <w:rsid w:val="00A46AE1"/>
    <w:rsid w:val="00A70867"/>
    <w:rsid w:val="00A7424B"/>
    <w:rsid w:val="00A771ED"/>
    <w:rsid w:val="00AE72E6"/>
    <w:rsid w:val="00AF46B8"/>
    <w:rsid w:val="00B3356C"/>
    <w:rsid w:val="00B64778"/>
    <w:rsid w:val="00BA00AB"/>
    <w:rsid w:val="00BA45EC"/>
    <w:rsid w:val="00BA5C93"/>
    <w:rsid w:val="00BA7E18"/>
    <w:rsid w:val="00BB6927"/>
    <w:rsid w:val="00BD4FF3"/>
    <w:rsid w:val="00C5154A"/>
    <w:rsid w:val="00CA50A7"/>
    <w:rsid w:val="00CD1BBA"/>
    <w:rsid w:val="00D05CEE"/>
    <w:rsid w:val="00D35E72"/>
    <w:rsid w:val="00D5211B"/>
    <w:rsid w:val="00D55857"/>
    <w:rsid w:val="00D660F0"/>
    <w:rsid w:val="00D85ECE"/>
    <w:rsid w:val="00D91D71"/>
    <w:rsid w:val="00DC5929"/>
    <w:rsid w:val="00E01BAB"/>
    <w:rsid w:val="00E217FB"/>
    <w:rsid w:val="00E26BB9"/>
    <w:rsid w:val="00E557D6"/>
    <w:rsid w:val="00E64D9F"/>
    <w:rsid w:val="00E9169A"/>
    <w:rsid w:val="00E93BB6"/>
    <w:rsid w:val="00E96B60"/>
    <w:rsid w:val="00EA63B6"/>
    <w:rsid w:val="00EB1244"/>
    <w:rsid w:val="00EB2FB7"/>
    <w:rsid w:val="00EC3028"/>
    <w:rsid w:val="00EE6A7E"/>
    <w:rsid w:val="00F005F8"/>
    <w:rsid w:val="00F24FEB"/>
    <w:rsid w:val="00F30928"/>
    <w:rsid w:val="00F51ED5"/>
    <w:rsid w:val="00F52954"/>
    <w:rsid w:val="00F54AFA"/>
    <w:rsid w:val="00F84021"/>
    <w:rsid w:val="00FC5FA3"/>
    <w:rsid w:val="00FD161D"/>
    <w:rsid w:val="00FD288F"/>
    <w:rsid w:val="00FD6400"/>
    <w:rsid w:val="00FE2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E08"/>
    <w:pPr>
      <w:spacing w:after="120"/>
    </w:pPr>
    <w:rPr>
      <w:sz w:val="22"/>
      <w:szCs w:val="24"/>
    </w:rPr>
  </w:style>
  <w:style w:type="paragraph" w:styleId="1">
    <w:name w:val="heading 1"/>
    <w:basedOn w:val="a"/>
    <w:next w:val="a"/>
    <w:qFormat/>
    <w:rsid w:val="00BA5C93"/>
    <w:pPr>
      <w:keepNext/>
      <w:pageBreakBefore/>
      <w:spacing w:before="240" w:after="60"/>
      <w:ind w:left="567" w:right="567"/>
      <w:jc w:val="center"/>
      <w:outlineLvl w:val="0"/>
    </w:pPr>
    <w:rPr>
      <w:rFonts w:ascii="Arial" w:hAnsi="Arial"/>
      <w:b/>
      <w:kern w:val="28"/>
      <w:sz w:val="28"/>
      <w:u w:val="single"/>
    </w:rPr>
  </w:style>
  <w:style w:type="paragraph" w:styleId="2">
    <w:name w:val="heading 2"/>
    <w:basedOn w:val="a"/>
    <w:next w:val="a"/>
    <w:qFormat/>
    <w:rsid w:val="00BA5C93"/>
    <w:pPr>
      <w:keepNext/>
      <w:spacing w:before="240" w:after="60"/>
      <w:ind w:left="567" w:right="567"/>
      <w:jc w:val="center"/>
      <w:outlineLvl w:val="1"/>
    </w:pPr>
    <w:rPr>
      <w:rFonts w:ascii="Arial" w:hAnsi="Arial"/>
      <w:b/>
      <w:sz w:val="28"/>
    </w:rPr>
  </w:style>
  <w:style w:type="paragraph" w:styleId="3">
    <w:name w:val="heading 3"/>
    <w:basedOn w:val="a"/>
    <w:next w:val="a"/>
    <w:qFormat/>
    <w:rsid w:val="00BA5C93"/>
    <w:pPr>
      <w:keepNext/>
      <w:spacing w:before="120" w:after="60"/>
      <w:ind w:left="567" w:right="567"/>
      <w:outlineLvl w:val="2"/>
    </w:pPr>
    <w:rPr>
      <w:rFonts w:ascii="Arial" w:hAnsi="Arial"/>
      <w:b/>
      <w:sz w:val="26"/>
    </w:rPr>
  </w:style>
  <w:style w:type="paragraph" w:styleId="4">
    <w:name w:val="heading 4"/>
    <w:basedOn w:val="a"/>
    <w:next w:val="a"/>
    <w:qFormat/>
    <w:rsid w:val="00BA5C93"/>
    <w:pPr>
      <w:keepNext/>
      <w:spacing w:before="120" w:after="60"/>
      <w:ind w:left="284" w:right="284"/>
      <w:outlineLvl w:val="3"/>
    </w:pPr>
    <w:rPr>
      <w:rFonts w:ascii="Arial" w:hAnsi="Arial"/>
      <w:b/>
      <w:sz w:val="24"/>
    </w:rPr>
  </w:style>
  <w:style w:type="paragraph" w:styleId="5">
    <w:name w:val="heading 5"/>
    <w:basedOn w:val="a"/>
    <w:next w:val="a"/>
    <w:qFormat/>
    <w:rsid w:val="00DC5929"/>
    <w:pPr>
      <w:spacing w:before="120"/>
      <w:outlineLvl w:val="4"/>
    </w:pPr>
    <w:rPr>
      <w:i/>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_С_программы"/>
    <w:basedOn w:val="a"/>
    <w:pPr>
      <w:ind w:left="2832" w:hanging="2832"/>
    </w:pPr>
  </w:style>
  <w:style w:type="paragraph" w:styleId="a4">
    <w:name w:val="Document Map"/>
    <w:basedOn w:val="a"/>
    <w:semiHidden/>
    <w:rsid w:val="006C0B11"/>
    <w:pPr>
      <w:shd w:val="clear" w:color="auto" w:fill="000080"/>
    </w:pPr>
    <w:rPr>
      <w:rFonts w:ascii="Tahoma" w:hAnsi="Tahoma" w:cs="Tahoma"/>
      <w:szCs w:val="20"/>
    </w:rPr>
  </w:style>
  <w:style w:type="character" w:styleId="a5">
    <w:name w:val="Hyperlink"/>
    <w:rsid w:val="00E9169A"/>
    <w:rPr>
      <w:color w:val="0000FF"/>
      <w:u w:val="single"/>
    </w:rPr>
  </w:style>
  <w:style w:type="paragraph" w:customStyle="1" w:styleId="10">
    <w:name w:val="Стиль Заголовок 1 + По левому краю"/>
    <w:basedOn w:val="1"/>
    <w:rsid w:val="00BA5C93"/>
    <w:pPr>
      <w:jc w:val="left"/>
    </w:pPr>
    <w:rPr>
      <w:bCs/>
      <w:szCs w:val="20"/>
    </w:rPr>
  </w:style>
  <w:style w:type="character" w:styleId="a6">
    <w:name w:val="Placeholder Text"/>
    <w:basedOn w:val="a0"/>
    <w:uiPriority w:val="99"/>
    <w:semiHidden/>
    <w:rsid w:val="00416862"/>
    <w:rPr>
      <w:color w:val="808080"/>
    </w:rPr>
  </w:style>
  <w:style w:type="paragraph" w:styleId="a7">
    <w:name w:val="Balloon Text"/>
    <w:basedOn w:val="a"/>
    <w:link w:val="a8"/>
    <w:uiPriority w:val="99"/>
    <w:semiHidden/>
    <w:unhideWhenUsed/>
    <w:rsid w:val="00416862"/>
    <w:pPr>
      <w:spacing w:after="0"/>
    </w:pPr>
    <w:rPr>
      <w:rFonts w:ascii="Tahoma" w:hAnsi="Tahoma" w:cs="Tahoma"/>
      <w:sz w:val="16"/>
      <w:szCs w:val="16"/>
    </w:rPr>
  </w:style>
  <w:style w:type="character" w:customStyle="1" w:styleId="a8">
    <w:name w:val="Текст выноски Знак"/>
    <w:basedOn w:val="a0"/>
    <w:link w:val="a7"/>
    <w:uiPriority w:val="99"/>
    <w:semiHidden/>
    <w:rsid w:val="00416862"/>
    <w:rPr>
      <w:rFonts w:ascii="Tahoma" w:hAnsi="Tahoma" w:cs="Tahoma"/>
      <w:sz w:val="16"/>
      <w:szCs w:val="16"/>
    </w:rPr>
  </w:style>
  <w:style w:type="character" w:customStyle="1" w:styleId="apple-style-span">
    <w:name w:val="apple-style-span"/>
    <w:basedOn w:val="a0"/>
    <w:rsid w:val="001044CD"/>
  </w:style>
  <w:style w:type="character" w:customStyle="1" w:styleId="apple-converted-space">
    <w:name w:val="apple-converted-space"/>
    <w:basedOn w:val="a0"/>
    <w:rsid w:val="001044CD"/>
  </w:style>
  <w:style w:type="paragraph" w:styleId="a9">
    <w:name w:val="List Paragraph"/>
    <w:basedOn w:val="a"/>
    <w:uiPriority w:val="34"/>
    <w:qFormat/>
    <w:rsid w:val="0060137F"/>
    <w:pPr>
      <w:ind w:left="720"/>
    </w:pPr>
  </w:style>
  <w:style w:type="paragraph" w:styleId="aa">
    <w:name w:val="footnote text"/>
    <w:basedOn w:val="a"/>
    <w:link w:val="ab"/>
    <w:rsid w:val="001044CD"/>
    <w:pPr>
      <w:spacing w:after="0"/>
    </w:pPr>
    <w:rPr>
      <w:sz w:val="20"/>
      <w:szCs w:val="20"/>
    </w:rPr>
  </w:style>
  <w:style w:type="character" w:customStyle="1" w:styleId="ab">
    <w:name w:val="Текст сноски Знак"/>
    <w:basedOn w:val="a0"/>
    <w:link w:val="aa"/>
    <w:rsid w:val="001044CD"/>
  </w:style>
  <w:style w:type="character" w:styleId="ac">
    <w:name w:val="footnote reference"/>
    <w:basedOn w:val="a0"/>
    <w:rsid w:val="001044CD"/>
    <w:rPr>
      <w:vertAlign w:val="superscript"/>
    </w:rPr>
  </w:style>
  <w:style w:type="paragraph" w:customStyle="1" w:styleId="Default">
    <w:name w:val="Default"/>
    <w:rsid w:val="00634075"/>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E08"/>
    <w:pPr>
      <w:spacing w:after="120"/>
    </w:pPr>
    <w:rPr>
      <w:sz w:val="22"/>
      <w:szCs w:val="24"/>
    </w:rPr>
  </w:style>
  <w:style w:type="paragraph" w:styleId="1">
    <w:name w:val="heading 1"/>
    <w:basedOn w:val="a"/>
    <w:next w:val="a"/>
    <w:qFormat/>
    <w:rsid w:val="00BA5C93"/>
    <w:pPr>
      <w:keepNext/>
      <w:pageBreakBefore/>
      <w:spacing w:before="240" w:after="60"/>
      <w:ind w:left="567" w:right="567"/>
      <w:jc w:val="center"/>
      <w:outlineLvl w:val="0"/>
    </w:pPr>
    <w:rPr>
      <w:rFonts w:ascii="Arial" w:hAnsi="Arial"/>
      <w:b/>
      <w:kern w:val="28"/>
      <w:sz w:val="28"/>
      <w:u w:val="single"/>
    </w:rPr>
  </w:style>
  <w:style w:type="paragraph" w:styleId="2">
    <w:name w:val="heading 2"/>
    <w:basedOn w:val="a"/>
    <w:next w:val="a"/>
    <w:qFormat/>
    <w:rsid w:val="00BA5C93"/>
    <w:pPr>
      <w:keepNext/>
      <w:spacing w:before="240" w:after="60"/>
      <w:ind w:left="567" w:right="567"/>
      <w:jc w:val="center"/>
      <w:outlineLvl w:val="1"/>
    </w:pPr>
    <w:rPr>
      <w:rFonts w:ascii="Arial" w:hAnsi="Arial"/>
      <w:b/>
      <w:sz w:val="28"/>
    </w:rPr>
  </w:style>
  <w:style w:type="paragraph" w:styleId="3">
    <w:name w:val="heading 3"/>
    <w:basedOn w:val="a"/>
    <w:next w:val="a"/>
    <w:qFormat/>
    <w:rsid w:val="00BA5C93"/>
    <w:pPr>
      <w:keepNext/>
      <w:spacing w:before="120" w:after="60"/>
      <w:ind w:left="567" w:right="567"/>
      <w:outlineLvl w:val="2"/>
    </w:pPr>
    <w:rPr>
      <w:rFonts w:ascii="Arial" w:hAnsi="Arial"/>
      <w:b/>
      <w:sz w:val="26"/>
    </w:rPr>
  </w:style>
  <w:style w:type="paragraph" w:styleId="4">
    <w:name w:val="heading 4"/>
    <w:basedOn w:val="a"/>
    <w:next w:val="a"/>
    <w:qFormat/>
    <w:rsid w:val="00BA5C93"/>
    <w:pPr>
      <w:keepNext/>
      <w:spacing w:before="120" w:after="60"/>
      <w:ind w:left="284" w:right="284"/>
      <w:outlineLvl w:val="3"/>
    </w:pPr>
    <w:rPr>
      <w:rFonts w:ascii="Arial" w:hAnsi="Arial"/>
      <w:b/>
      <w:sz w:val="24"/>
    </w:rPr>
  </w:style>
  <w:style w:type="paragraph" w:styleId="5">
    <w:name w:val="heading 5"/>
    <w:basedOn w:val="a"/>
    <w:next w:val="a"/>
    <w:qFormat/>
    <w:rsid w:val="00DC5929"/>
    <w:pPr>
      <w:spacing w:before="120"/>
      <w:outlineLvl w:val="4"/>
    </w:pPr>
    <w:rPr>
      <w:i/>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_С_программы"/>
    <w:basedOn w:val="a"/>
    <w:pPr>
      <w:ind w:left="2832" w:hanging="2832"/>
    </w:pPr>
  </w:style>
  <w:style w:type="paragraph" w:styleId="a4">
    <w:name w:val="Document Map"/>
    <w:basedOn w:val="a"/>
    <w:semiHidden/>
    <w:rsid w:val="006C0B11"/>
    <w:pPr>
      <w:shd w:val="clear" w:color="auto" w:fill="000080"/>
    </w:pPr>
    <w:rPr>
      <w:rFonts w:ascii="Tahoma" w:hAnsi="Tahoma" w:cs="Tahoma"/>
      <w:szCs w:val="20"/>
    </w:rPr>
  </w:style>
  <w:style w:type="character" w:styleId="a5">
    <w:name w:val="Hyperlink"/>
    <w:rsid w:val="00E9169A"/>
    <w:rPr>
      <w:color w:val="0000FF"/>
      <w:u w:val="single"/>
    </w:rPr>
  </w:style>
  <w:style w:type="paragraph" w:customStyle="1" w:styleId="10">
    <w:name w:val="Стиль Заголовок 1 + По левому краю"/>
    <w:basedOn w:val="1"/>
    <w:rsid w:val="00BA5C93"/>
    <w:pPr>
      <w:jc w:val="left"/>
    </w:pPr>
    <w:rPr>
      <w:bCs/>
      <w:szCs w:val="20"/>
    </w:rPr>
  </w:style>
  <w:style w:type="character" w:styleId="a6">
    <w:name w:val="Placeholder Text"/>
    <w:basedOn w:val="a0"/>
    <w:uiPriority w:val="99"/>
    <w:semiHidden/>
    <w:rsid w:val="00416862"/>
    <w:rPr>
      <w:color w:val="808080"/>
    </w:rPr>
  </w:style>
  <w:style w:type="paragraph" w:styleId="a7">
    <w:name w:val="Balloon Text"/>
    <w:basedOn w:val="a"/>
    <w:link w:val="a8"/>
    <w:uiPriority w:val="99"/>
    <w:semiHidden/>
    <w:unhideWhenUsed/>
    <w:rsid w:val="00416862"/>
    <w:pPr>
      <w:spacing w:after="0"/>
    </w:pPr>
    <w:rPr>
      <w:rFonts w:ascii="Tahoma" w:hAnsi="Tahoma" w:cs="Tahoma"/>
      <w:sz w:val="16"/>
      <w:szCs w:val="16"/>
    </w:rPr>
  </w:style>
  <w:style w:type="character" w:customStyle="1" w:styleId="a8">
    <w:name w:val="Текст выноски Знак"/>
    <w:basedOn w:val="a0"/>
    <w:link w:val="a7"/>
    <w:uiPriority w:val="99"/>
    <w:semiHidden/>
    <w:rsid w:val="00416862"/>
    <w:rPr>
      <w:rFonts w:ascii="Tahoma" w:hAnsi="Tahoma" w:cs="Tahoma"/>
      <w:sz w:val="16"/>
      <w:szCs w:val="16"/>
    </w:rPr>
  </w:style>
  <w:style w:type="character" w:customStyle="1" w:styleId="apple-style-span">
    <w:name w:val="apple-style-span"/>
    <w:basedOn w:val="a0"/>
    <w:rsid w:val="001044CD"/>
  </w:style>
  <w:style w:type="character" w:customStyle="1" w:styleId="apple-converted-space">
    <w:name w:val="apple-converted-space"/>
    <w:basedOn w:val="a0"/>
    <w:rsid w:val="001044CD"/>
  </w:style>
  <w:style w:type="paragraph" w:styleId="a9">
    <w:name w:val="List Paragraph"/>
    <w:basedOn w:val="a"/>
    <w:uiPriority w:val="34"/>
    <w:qFormat/>
    <w:rsid w:val="0060137F"/>
    <w:pPr>
      <w:ind w:left="720"/>
    </w:pPr>
  </w:style>
  <w:style w:type="paragraph" w:styleId="aa">
    <w:name w:val="footnote text"/>
    <w:basedOn w:val="a"/>
    <w:link w:val="ab"/>
    <w:rsid w:val="001044CD"/>
    <w:pPr>
      <w:spacing w:after="0"/>
    </w:pPr>
    <w:rPr>
      <w:sz w:val="20"/>
      <w:szCs w:val="20"/>
    </w:rPr>
  </w:style>
  <w:style w:type="character" w:customStyle="1" w:styleId="ab">
    <w:name w:val="Текст сноски Знак"/>
    <w:basedOn w:val="a0"/>
    <w:link w:val="aa"/>
    <w:rsid w:val="001044CD"/>
  </w:style>
  <w:style w:type="character" w:styleId="ac">
    <w:name w:val="footnote reference"/>
    <w:basedOn w:val="a0"/>
    <w:rsid w:val="001044CD"/>
    <w:rPr>
      <w:vertAlign w:val="superscript"/>
    </w:rPr>
  </w:style>
  <w:style w:type="paragraph" w:customStyle="1" w:styleId="Default">
    <w:name w:val="Default"/>
    <w:rsid w:val="0063407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1040;&#1055;&#1053;-&#109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D3B72-ED28-4B09-B534-9A5A0DE5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АПН-ш.dotx</Template>
  <TotalTime>0</TotalTime>
  <Pages>6</Pages>
  <Words>2256</Words>
  <Characters>12863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(1) Лист ответа</vt:lpstr>
    </vt:vector>
  </TitlesOfParts>
  <Company>fps</Company>
  <LinksUpToDate>false</LinksUpToDate>
  <CharactersWithSpaces>15089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Лист ответа</dc:title>
  <dc:creator>apn</dc:creator>
  <cp:lastModifiedBy>kurl</cp:lastModifiedBy>
  <cp:revision>2</cp:revision>
  <cp:lastPrinted>2004-06-02T14:07:00Z</cp:lastPrinted>
  <dcterms:created xsi:type="dcterms:W3CDTF">2012-11-13T13:27:00Z</dcterms:created>
  <dcterms:modified xsi:type="dcterms:W3CDTF">2012-11-13T13:27:00Z</dcterms:modified>
</cp:coreProperties>
</file>