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Alice's Adventures in Wonderland (Lewis Carroll)</w:t>
              <w:br/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000000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000000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000000"/>
          <w:sz w:val="26"/>
        </w:rPr>
        <w:t>3. Cross-Model Temperature Analysis (Averaged Over Models and Seed Prompts, n = 3 per cell)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Strict syntax; prone to repetitive phrase traps (GRU 52.5%)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dialogue; LSTM and GRU comparable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lexical variety; slight syntactic drift across clauses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collapse into ungrammatical token salad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000000"/>
          <w:sz w:val="26"/>
        </w:rPr>
        <w:t>4. Conclusion &amp; Model Comparison</w:t>
      </w:r>
    </w:p>
    <w:p>
      <w:r>
        <w:t>• LSTM edges ahead across next-word prediction metrics: lowest validation loss (3.9903, PPL 54.07), highest validation top-1 accuracy (21.87%), and highest held-out test top-1 accuracy (23.29%) and top-5 accuracy (47.23%). Held-out test set targets contain 11.17% &lt;unk&gt; tokens due to fitting vocabulary strictly on train tokens (min_freq=2); reported accuracies reflect classification over the full vocabulary including &lt;unk&gt;.</w:t>
        <w:br/>
        <w:t>• GRU performs closely behind in second place (Val Loss 4.0353, Test Top-1 22.53%) with 11% fewer parameters (1,061,652 vs. 1,193,236). Simple RNN remains competitive in loss (4.0741, PPL 58.80).</w:t>
        <w:br/>
        <w:t>• Contextual Consistency &amp; Seed Origin: Seed 1 comes from the training text, Seed 2 from held-out test text, and Seed 3 from validation text. Consistency was assessed qualitatively on a few samples per cell. At T=0.5, LSTM and GRU more often produce Carroll-style dialogue tags (e.g. 'the march hare said'), but all models drift across clauses and none sustain a consistent scene. We did not compute a quantitative consistency metric. GRU achieves 0.0% trigram repetition at T=0.5, while LSTM produces the most fluent story phrasing in our samples.</w:t>
        <w:br/>
        <w:t>• Statistical Evaluation &amp; Single-Seed Limitation: While all models were trained with SEED=42 to enforce strictly identical conditions, the 0.045 cross-entropy delta between LSTM and GRU falls within typical single-run variance. Multi-seed runs (3–5 seeds) with mean ± standard deviation reporting are recommended for production-scale validation.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optimal empirical balance between lexical diversity (Distinct-1: 0.60–0.73) and phrase stability, achieving low trigram repetition across models (LSTM: 5.0%, GRU: 0.0%, BiRNN: 1.0%, Simple RNN: 6.1%).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