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40"/>
          <w:szCs w:val="40"/>
        </w:rPr>
        <w:t xml:space="preserve">ISO/IEC 27001:2022 – Annex A Controls</w:t>
      </w:r>
    </w:p>
    <w:p>
      <w:pPr>
        <w:spacing w:after="400"/>
        <w:jc w:val="center"/>
      </w:pPr>
      <w:r>
        <w:rPr>
          <w:i/>
          <w:iCs/>
          <w:sz w:val="26"/>
          <w:szCs w:val="26"/>
        </w:rPr>
        <w:t xml:space="preserve">A.6 – People Controls (8 Controls)</w:t>
      </w:r>
    </w:p>
    <w:p>
      <w:pPr>
        <w:pStyle w:val="Heading1"/>
        <w:pBdr>
          <w:bottom w:val="single" w:color="1F3864" w:sz="6" w:space="4"/>
        </w:pBdr>
        <w:spacing w:after="200" w:before="100"/>
      </w:pPr>
      <w:r>
        <w:t xml:space="preserve">A.6 – People Controls (8 Controls)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700"/>
      </w:tblGrid>
      <w:tr>
        <w:trPr>
          <w:tblHeader/>
        </w:trPr>
        <w:tc>
          <w:tcPr>
            <w:tcW w:type="dxa" w:w="1400"/>
            <w:shd w:fill="1F3864" w:color="auto" w:val="clear"/>
            <w:tcMar>
              <w:top w:type="dxa" w:w="100"/>
              <w:left w:type="dxa" w:w="100"/>
              <w:bottom w:type="dxa" w:w="100"/>
              <w:right w:type="dxa" w:w="100"/>
            </w:tcMar>
          </w:tcPr>
          <w:p>
            <w:r>
              <w:rPr>
                <w:b/>
                <w:bCs/>
                <w:color w:val="FFFFFF"/>
                <w:sz w:val="20"/>
                <w:szCs w:val="20"/>
              </w:rPr>
              <w:t xml:space="preserve">Control No.</w:t>
            </w:r>
          </w:p>
        </w:tc>
        <w:tc>
          <w:tcPr>
            <w:tcW w:type="dxa" w:w="2800"/>
            <w:shd w:fill="1F3864" w:color="auto" w:val="clear"/>
            <w:tcMar>
              <w:top w:type="dxa" w:w="100"/>
              <w:left w:type="dxa" w:w="100"/>
              <w:bottom w:type="dxa" w:w="100"/>
              <w:right w:type="dxa" w:w="100"/>
            </w:tcMar>
          </w:tcPr>
          <w:p>
            <w:r>
              <w:rPr>
                <w:b/>
                <w:bCs/>
                <w:color w:val="FFFFFF"/>
                <w:sz w:val="20"/>
                <w:szCs w:val="20"/>
              </w:rPr>
              <w:t xml:space="preserve">Control Name</w:t>
            </w:r>
          </w:p>
        </w:tc>
        <w:tc>
          <w:tcPr>
            <w:tcW w:type="dxa" w:w="5700"/>
            <w:shd w:fill="1F3864" w:color="auto" w:val="clear"/>
            <w:tcMar>
              <w:top w:type="dxa" w:w="100"/>
              <w:left w:type="dxa" w:w="100"/>
              <w:bottom w:type="dxa" w:w="100"/>
              <w:right w:type="dxa" w:w="100"/>
            </w:tcMar>
          </w:tcPr>
          <w:p>
            <w:r>
              <w:rPr>
                <w:b/>
                <w:bCs/>
                <w:color w:val="FFFFFF"/>
                <w:sz w:val="20"/>
                <w:szCs w:val="20"/>
              </w:rPr>
              <w:t xml:space="preserve">Requirement</w:t>
            </w:r>
          </w:p>
        </w:tc>
      </w:tr>
      <w:tr>
        <w:tc>
          <w:tcPr>
            <w:tcW w:type="dxa" w:w="1400"/>
            <w:tcMar>
              <w:top w:type="dxa" w:w="80"/>
              <w:left w:type="dxa" w:w="100"/>
              <w:bottom w:type="dxa" w:w="80"/>
              <w:right w:type="dxa" w:w="100"/>
            </w:tcMar>
          </w:tcPr>
          <w:p>
            <w:r>
              <w:rPr>
                <w:b/>
                <w:bCs/>
                <w:sz w:val="20"/>
                <w:szCs w:val="20"/>
              </w:rPr>
              <w:t xml:space="preserve">A.6.1</w:t>
            </w:r>
          </w:p>
        </w:tc>
        <w:tc>
          <w:tcPr>
            <w:tcW w:type="dxa" w:w="2800"/>
            <w:tcMar>
              <w:top w:type="dxa" w:w="80"/>
              <w:left w:type="dxa" w:w="100"/>
              <w:bottom w:type="dxa" w:w="80"/>
              <w:right w:type="dxa" w:w="100"/>
            </w:tcMar>
          </w:tcPr>
          <w:p>
            <w:r>
              <w:rPr>
                <w:b w:val="false"/>
                <w:bCs w:val="false"/>
                <w:sz w:val="20"/>
                <w:szCs w:val="20"/>
              </w:rPr>
              <w:t xml:space="preserve">Screening</w:t>
            </w:r>
          </w:p>
        </w:tc>
        <w:tc>
          <w:tcPr>
            <w:tcW w:type="dxa" w:w="5700"/>
            <w:tcMar>
              <w:top w:type="dxa" w:w="80"/>
              <w:left w:type="dxa" w:w="100"/>
              <w:bottom w:type="dxa" w:w="80"/>
              <w:right w:type="dxa" w:w="100"/>
            </w:tcMar>
          </w:tcPr>
          <w:p>
            <w:r>
              <w:rPr>
                <w:b w:val="false"/>
                <w:bCs w:val="false"/>
                <w:sz w:val="20"/>
                <w:szCs w:val="20"/>
              </w:rPr>
              <w:t xml:space="preserve">Background verification checks on all candidates to become personnel shall be carried out prior to joining the organization and on an ongoing basis taking into consideration applicable laws, regulations and ethics and be proportional to the business requirements, the classification of the information to be accessed and the perceived risks.</w:t>
            </w:r>
          </w:p>
        </w:tc>
      </w:tr>
      <w:tr>
        <w:tc>
          <w:tcPr>
            <w:tcW w:type="dxa" w:w="1400"/>
            <w:shd w:fill="DCE6F1" w:color="auto" w:val="clear"/>
            <w:tcMar>
              <w:top w:type="dxa" w:w="80"/>
              <w:left w:type="dxa" w:w="100"/>
              <w:bottom w:type="dxa" w:w="80"/>
              <w:right w:type="dxa" w:w="100"/>
            </w:tcMar>
          </w:tcPr>
          <w:p>
            <w:r>
              <w:rPr>
                <w:b/>
                <w:bCs/>
                <w:sz w:val="20"/>
                <w:szCs w:val="20"/>
              </w:rPr>
              <w:t xml:space="preserve">A.6.2</w:t>
            </w:r>
          </w:p>
        </w:tc>
        <w:tc>
          <w:tcPr>
            <w:tcW w:type="dxa" w:w="2800"/>
            <w:shd w:fill="DCE6F1" w:color="auto" w:val="clear"/>
            <w:tcMar>
              <w:top w:type="dxa" w:w="80"/>
              <w:left w:type="dxa" w:w="100"/>
              <w:bottom w:type="dxa" w:w="80"/>
              <w:right w:type="dxa" w:w="100"/>
            </w:tcMar>
          </w:tcPr>
          <w:p>
            <w:r>
              <w:rPr>
                <w:b w:val="false"/>
                <w:bCs w:val="false"/>
                <w:sz w:val="20"/>
                <w:szCs w:val="20"/>
              </w:rPr>
              <w:t xml:space="preserve">Terms and conditions of employment</w:t>
            </w:r>
          </w:p>
        </w:tc>
        <w:tc>
          <w:tcPr>
            <w:tcW w:type="dxa" w:w="5700"/>
            <w:shd w:fill="DCE6F1" w:color="auto" w:val="clear"/>
            <w:tcMar>
              <w:top w:type="dxa" w:w="80"/>
              <w:left w:type="dxa" w:w="100"/>
              <w:bottom w:type="dxa" w:w="80"/>
              <w:right w:type="dxa" w:w="100"/>
            </w:tcMar>
          </w:tcPr>
          <w:p>
            <w:r>
              <w:rPr>
                <w:b w:val="false"/>
                <w:bCs w:val="false"/>
                <w:sz w:val="20"/>
                <w:szCs w:val="20"/>
              </w:rPr>
              <w:t xml:space="preserve">The employment contractual agreements shall state the personnel's and the organization's responsibilities for information security.</w:t>
            </w:r>
          </w:p>
        </w:tc>
      </w:tr>
      <w:tr>
        <w:tc>
          <w:tcPr>
            <w:tcW w:type="dxa" w:w="1400"/>
            <w:tcMar>
              <w:top w:type="dxa" w:w="80"/>
              <w:left w:type="dxa" w:w="100"/>
              <w:bottom w:type="dxa" w:w="80"/>
              <w:right w:type="dxa" w:w="100"/>
            </w:tcMar>
          </w:tcPr>
          <w:p>
            <w:r>
              <w:rPr>
                <w:b/>
                <w:bCs/>
                <w:sz w:val="20"/>
                <w:szCs w:val="20"/>
              </w:rPr>
              <w:t xml:space="preserve">A.6.3</w:t>
            </w:r>
          </w:p>
        </w:tc>
        <w:tc>
          <w:tcPr>
            <w:tcW w:type="dxa" w:w="2800"/>
            <w:tcMar>
              <w:top w:type="dxa" w:w="80"/>
              <w:left w:type="dxa" w:w="100"/>
              <w:bottom w:type="dxa" w:w="80"/>
              <w:right w:type="dxa" w:w="100"/>
            </w:tcMar>
          </w:tcPr>
          <w:p>
            <w:r>
              <w:rPr>
                <w:b w:val="false"/>
                <w:bCs w:val="false"/>
                <w:sz w:val="20"/>
                <w:szCs w:val="20"/>
              </w:rPr>
              <w:t xml:space="preserve">Information security awareness, education and training</w:t>
            </w:r>
          </w:p>
        </w:tc>
        <w:tc>
          <w:tcPr>
            <w:tcW w:type="dxa" w:w="5700"/>
            <w:tcMar>
              <w:top w:type="dxa" w:w="80"/>
              <w:left w:type="dxa" w:w="100"/>
              <w:bottom w:type="dxa" w:w="80"/>
              <w:right w:type="dxa" w:w="100"/>
            </w:tcMar>
          </w:tcPr>
          <w:p>
            <w:r>
              <w:rPr>
                <w:b w:val="false"/>
                <w:bCs w:val="false"/>
                <w:sz w:val="20"/>
                <w:szCs w:val="20"/>
              </w:rPr>
              <w:t xml:space="preserve">Personnel of the organization and relevant interested parties shall receive appropriate information security awareness, education and training and regular updates of the organization's information security policy, topic-specific policies and procedures, as relevant for their job function.</w:t>
            </w:r>
          </w:p>
        </w:tc>
      </w:tr>
      <w:tr>
        <w:tc>
          <w:tcPr>
            <w:tcW w:type="dxa" w:w="1400"/>
            <w:shd w:fill="DCE6F1" w:color="auto" w:val="clear"/>
            <w:tcMar>
              <w:top w:type="dxa" w:w="80"/>
              <w:left w:type="dxa" w:w="100"/>
              <w:bottom w:type="dxa" w:w="80"/>
              <w:right w:type="dxa" w:w="100"/>
            </w:tcMar>
          </w:tcPr>
          <w:p>
            <w:r>
              <w:rPr>
                <w:b/>
                <w:bCs/>
                <w:sz w:val="20"/>
                <w:szCs w:val="20"/>
              </w:rPr>
              <w:t xml:space="preserve">A.6.4</w:t>
            </w:r>
          </w:p>
        </w:tc>
        <w:tc>
          <w:tcPr>
            <w:tcW w:type="dxa" w:w="2800"/>
            <w:shd w:fill="DCE6F1" w:color="auto" w:val="clear"/>
            <w:tcMar>
              <w:top w:type="dxa" w:w="80"/>
              <w:left w:type="dxa" w:w="100"/>
              <w:bottom w:type="dxa" w:w="80"/>
              <w:right w:type="dxa" w:w="100"/>
            </w:tcMar>
          </w:tcPr>
          <w:p>
            <w:r>
              <w:rPr>
                <w:b w:val="false"/>
                <w:bCs w:val="false"/>
                <w:sz w:val="20"/>
                <w:szCs w:val="20"/>
              </w:rPr>
              <w:t xml:space="preserve">Disciplinary process</w:t>
            </w:r>
          </w:p>
        </w:tc>
        <w:tc>
          <w:tcPr>
            <w:tcW w:type="dxa" w:w="5700"/>
            <w:shd w:fill="DCE6F1" w:color="auto" w:val="clear"/>
            <w:tcMar>
              <w:top w:type="dxa" w:w="80"/>
              <w:left w:type="dxa" w:w="100"/>
              <w:bottom w:type="dxa" w:w="80"/>
              <w:right w:type="dxa" w:w="100"/>
            </w:tcMar>
          </w:tcPr>
          <w:p>
            <w:r>
              <w:rPr>
                <w:b w:val="false"/>
                <w:bCs w:val="false"/>
                <w:sz w:val="20"/>
                <w:szCs w:val="20"/>
              </w:rPr>
              <w:t xml:space="preserve">A disciplinary process shall be formalized and communicated to take actions against personnel and other relevant interested parties who have committed an information security policy violation.</w:t>
            </w:r>
          </w:p>
        </w:tc>
      </w:tr>
      <w:tr>
        <w:tc>
          <w:tcPr>
            <w:tcW w:type="dxa" w:w="1400"/>
            <w:tcMar>
              <w:top w:type="dxa" w:w="80"/>
              <w:left w:type="dxa" w:w="100"/>
              <w:bottom w:type="dxa" w:w="80"/>
              <w:right w:type="dxa" w:w="100"/>
            </w:tcMar>
          </w:tcPr>
          <w:p>
            <w:r>
              <w:rPr>
                <w:b/>
                <w:bCs/>
                <w:sz w:val="20"/>
                <w:szCs w:val="20"/>
              </w:rPr>
              <w:t xml:space="preserve">A.6.5</w:t>
            </w:r>
          </w:p>
        </w:tc>
        <w:tc>
          <w:tcPr>
            <w:tcW w:type="dxa" w:w="2800"/>
            <w:tcMar>
              <w:top w:type="dxa" w:w="80"/>
              <w:left w:type="dxa" w:w="100"/>
              <w:bottom w:type="dxa" w:w="80"/>
              <w:right w:type="dxa" w:w="100"/>
            </w:tcMar>
          </w:tcPr>
          <w:p>
            <w:r>
              <w:rPr>
                <w:b w:val="false"/>
                <w:bCs w:val="false"/>
                <w:sz w:val="20"/>
                <w:szCs w:val="20"/>
              </w:rPr>
              <w:t xml:space="preserve">Responsibilities after termination or change of employment</w:t>
            </w:r>
          </w:p>
        </w:tc>
        <w:tc>
          <w:tcPr>
            <w:tcW w:type="dxa" w:w="5700"/>
            <w:tcMar>
              <w:top w:type="dxa" w:w="80"/>
              <w:left w:type="dxa" w:w="100"/>
              <w:bottom w:type="dxa" w:w="80"/>
              <w:right w:type="dxa" w:w="100"/>
            </w:tcMar>
          </w:tcPr>
          <w:p>
            <w:r>
              <w:rPr>
                <w:b w:val="false"/>
                <w:bCs w:val="false"/>
                <w:sz w:val="20"/>
                <w:szCs w:val="20"/>
              </w:rPr>
              <w:t xml:space="preserve">Information security responsibilities and duties that remain valid after termination or change of employment shall be defined, enforced and communicated to relevant personnel and other interested parties.</w:t>
            </w:r>
          </w:p>
        </w:tc>
      </w:tr>
      <w:tr>
        <w:tc>
          <w:tcPr>
            <w:tcW w:type="dxa" w:w="1400"/>
            <w:shd w:fill="DCE6F1" w:color="auto" w:val="clear"/>
            <w:tcMar>
              <w:top w:type="dxa" w:w="80"/>
              <w:left w:type="dxa" w:w="100"/>
              <w:bottom w:type="dxa" w:w="80"/>
              <w:right w:type="dxa" w:w="100"/>
            </w:tcMar>
          </w:tcPr>
          <w:p>
            <w:r>
              <w:rPr>
                <w:b/>
                <w:bCs/>
                <w:sz w:val="20"/>
                <w:szCs w:val="20"/>
              </w:rPr>
              <w:t xml:space="preserve">A.6.6</w:t>
            </w:r>
          </w:p>
        </w:tc>
        <w:tc>
          <w:tcPr>
            <w:tcW w:type="dxa" w:w="2800"/>
            <w:shd w:fill="DCE6F1" w:color="auto" w:val="clear"/>
            <w:tcMar>
              <w:top w:type="dxa" w:w="80"/>
              <w:left w:type="dxa" w:w="100"/>
              <w:bottom w:type="dxa" w:w="80"/>
              <w:right w:type="dxa" w:w="100"/>
            </w:tcMar>
          </w:tcPr>
          <w:p>
            <w:r>
              <w:rPr>
                <w:b w:val="false"/>
                <w:bCs w:val="false"/>
                <w:sz w:val="20"/>
                <w:szCs w:val="20"/>
              </w:rPr>
              <w:t xml:space="preserve">Confidentiality or non-disclosure agreements</w:t>
            </w:r>
          </w:p>
        </w:tc>
        <w:tc>
          <w:tcPr>
            <w:tcW w:type="dxa" w:w="5700"/>
            <w:shd w:fill="DCE6F1" w:color="auto" w:val="clear"/>
            <w:tcMar>
              <w:top w:type="dxa" w:w="80"/>
              <w:left w:type="dxa" w:w="100"/>
              <w:bottom w:type="dxa" w:w="80"/>
              <w:right w:type="dxa" w:w="100"/>
            </w:tcMar>
          </w:tcPr>
          <w:p>
            <w:r>
              <w:rPr>
                <w:b w:val="false"/>
                <w:bCs w:val="false"/>
                <w:sz w:val="20"/>
                <w:szCs w:val="20"/>
              </w:rPr>
              <w:t xml:space="preserve">Confidentiality or non-disclosure agreements reflecting the organization's needs for the protection of information shall be identified, documented, regularly reviewed and signed by personnel and other relevant interested parties.</w:t>
            </w:r>
          </w:p>
        </w:tc>
      </w:tr>
      <w:tr>
        <w:tc>
          <w:tcPr>
            <w:tcW w:type="dxa" w:w="1400"/>
            <w:tcMar>
              <w:top w:type="dxa" w:w="80"/>
              <w:left w:type="dxa" w:w="100"/>
              <w:bottom w:type="dxa" w:w="80"/>
              <w:right w:type="dxa" w:w="100"/>
            </w:tcMar>
          </w:tcPr>
          <w:p>
            <w:r>
              <w:rPr>
                <w:b/>
                <w:bCs/>
                <w:sz w:val="20"/>
                <w:szCs w:val="20"/>
              </w:rPr>
              <w:t xml:space="preserve">A.6.7</w:t>
            </w:r>
          </w:p>
        </w:tc>
        <w:tc>
          <w:tcPr>
            <w:tcW w:type="dxa" w:w="2800"/>
            <w:tcMar>
              <w:top w:type="dxa" w:w="80"/>
              <w:left w:type="dxa" w:w="100"/>
              <w:bottom w:type="dxa" w:w="80"/>
              <w:right w:type="dxa" w:w="100"/>
            </w:tcMar>
          </w:tcPr>
          <w:p>
            <w:r>
              <w:rPr>
                <w:b w:val="false"/>
                <w:bCs w:val="false"/>
                <w:sz w:val="20"/>
                <w:szCs w:val="20"/>
              </w:rPr>
              <w:t xml:space="preserve">Remote working</w:t>
            </w:r>
          </w:p>
        </w:tc>
        <w:tc>
          <w:tcPr>
            <w:tcW w:type="dxa" w:w="5700"/>
            <w:tcMar>
              <w:top w:type="dxa" w:w="80"/>
              <w:left w:type="dxa" w:w="100"/>
              <w:bottom w:type="dxa" w:w="80"/>
              <w:right w:type="dxa" w:w="100"/>
            </w:tcMar>
          </w:tcPr>
          <w:p>
            <w:r>
              <w:rPr>
                <w:b w:val="false"/>
                <w:bCs w:val="false"/>
                <w:sz w:val="20"/>
                <w:szCs w:val="20"/>
              </w:rPr>
              <w:t xml:space="preserve">Security measures shall be implemented when personnel are working remotely to protect information accessed, processed or stored outside the organization's premises.</w:t>
            </w:r>
          </w:p>
        </w:tc>
      </w:tr>
      <w:tr>
        <w:tc>
          <w:tcPr>
            <w:tcW w:type="dxa" w:w="1400"/>
            <w:shd w:fill="DCE6F1" w:color="auto" w:val="clear"/>
            <w:tcMar>
              <w:top w:type="dxa" w:w="80"/>
              <w:left w:type="dxa" w:w="100"/>
              <w:bottom w:type="dxa" w:w="80"/>
              <w:right w:type="dxa" w:w="100"/>
            </w:tcMar>
          </w:tcPr>
          <w:p>
            <w:r>
              <w:rPr>
                <w:b/>
                <w:bCs/>
                <w:sz w:val="20"/>
                <w:szCs w:val="20"/>
              </w:rPr>
              <w:t xml:space="preserve">A.6.8</w:t>
            </w:r>
          </w:p>
        </w:tc>
        <w:tc>
          <w:tcPr>
            <w:tcW w:type="dxa" w:w="2800"/>
            <w:shd w:fill="DCE6F1" w:color="auto" w:val="clear"/>
            <w:tcMar>
              <w:top w:type="dxa" w:w="80"/>
              <w:left w:type="dxa" w:w="100"/>
              <w:bottom w:type="dxa" w:w="80"/>
              <w:right w:type="dxa" w:w="100"/>
            </w:tcMar>
          </w:tcPr>
          <w:p>
            <w:r>
              <w:rPr>
                <w:b w:val="false"/>
                <w:bCs w:val="false"/>
                <w:sz w:val="20"/>
                <w:szCs w:val="20"/>
              </w:rPr>
              <w:t xml:space="preserve">Information security event reporting</w:t>
            </w:r>
          </w:p>
        </w:tc>
        <w:tc>
          <w:tcPr>
            <w:tcW w:type="dxa" w:w="5700"/>
            <w:shd w:fill="DCE6F1" w:color="auto" w:val="clear"/>
            <w:tcMar>
              <w:top w:type="dxa" w:w="80"/>
              <w:left w:type="dxa" w:w="100"/>
              <w:bottom w:type="dxa" w:w="80"/>
              <w:right w:type="dxa" w:w="100"/>
            </w:tcMar>
          </w:tcPr>
          <w:p>
            <w:r>
              <w:rPr>
                <w:b w:val="false"/>
                <w:bCs w:val="false"/>
                <w:sz w:val="20"/>
                <w:szCs w:val="20"/>
              </w:rPr>
              <w:t xml:space="preserve">The organization shall provide a mechanism for personnel to report observed or suspected information security events through appropriate channels in a timely manner.</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2026-08-10T09:10:44.734Z</dcterms:created>
  <dcterms:modified xsi:type="dcterms:W3CDTF">2026-08-10T09:10:44.734Z</dcterms:modified>
</cp:coreProperties>
</file>

<file path=docProps/custom.xml><?xml version="1.0" encoding="utf-8"?>
<Properties xmlns="http://schemas.openxmlformats.org/officeDocument/2006/custom-properties" xmlns:vt="http://schemas.openxmlformats.org/officeDocument/2006/docPropsVTypes"/>
</file>