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Custom Compliance Framework – Ambiguous NIST Protect Rewrite (1–16)</w:t>
      </w:r>
    </w:p>
    <w:p>
      <w:r>
        <w:t>Created: December 9, 2025</w:t>
      </w:r>
    </w:p>
    <w:p/>
    <w:p>
      <w:r>
        <w:t>Protect – Identity &amp; Access Considerations</w:t>
      </w:r>
    </w:p>
    <w:p/>
    <w:p>
      <w:r>
        <w:t xml:space="preserve">1. Verification of Individuals, Devices, and Operational Elements  </w:t>
      </w:r>
    </w:p>
    <w:p>
      <w:r>
        <w:t>Mechanisms should exist to confirm the legitimacy of users, devices, and other components interacting with organizational systems.</w:t>
      </w:r>
    </w:p>
    <w:p/>
    <w:p>
      <w:r>
        <w:t>Protect – Awareness &amp; Competency Development</w:t>
      </w:r>
    </w:p>
    <w:p/>
    <w:p>
      <w:r>
        <w:t xml:space="preserve">2. Foundational Instruction for All Participants  </w:t>
      </w:r>
    </w:p>
    <w:p>
      <w:r>
        <w:t>All individuals involved with organizational systems should receive guidance that increases their familiarity with cybersecurity expectations.</w:t>
      </w:r>
    </w:p>
    <w:p/>
    <w:p>
      <w:r>
        <w:t xml:space="preserve">3. Specialized Instruction for Those with Elevated Capabilities  </w:t>
      </w:r>
    </w:p>
    <w:p>
      <w:r>
        <w:t>Personnel who hold enhanced access or elevated responsibilities should receive training tailored to their unique role requirements.</w:t>
      </w:r>
    </w:p>
    <w:p/>
    <w:p>
      <w:r>
        <w:t xml:space="preserve">4. Clarification of Responsibilities for External Parties  </w:t>
      </w:r>
    </w:p>
    <w:p>
      <w:r>
        <w:t>Expectations tied to cybersecurity obligations should be communicated to third parties and external service contributors.</w:t>
      </w:r>
    </w:p>
    <w:p/>
    <w:p>
      <w:r>
        <w:t xml:space="preserve">5. Strategic Understanding for Senior Leadership  </w:t>
      </w:r>
    </w:p>
    <w:p>
      <w:r>
        <w:t>Individuals in executive positions should maintain awareness of their broader governance responsibilities related to cybersecurity.</w:t>
      </w:r>
    </w:p>
    <w:p/>
    <w:p>
      <w:r>
        <w:t xml:space="preserve">6. Role-Specific Insight for Security Personnel  </w:t>
      </w:r>
    </w:p>
    <w:p>
      <w:r>
        <w:t>Security-focused personnel should be provided with guidance suited to their direct involvement in safeguarding organizational resources.</w:t>
      </w:r>
    </w:p>
    <w:p/>
    <w:p>
      <w:r>
        <w:t>Protect – Data Safeguarding</w:t>
      </w:r>
    </w:p>
    <w:p/>
    <w:p>
      <w:r>
        <w:t xml:space="preserve">7. Preservation of Stored Information  </w:t>
      </w:r>
    </w:p>
    <w:p>
      <w:r>
        <w:t>Stored information should be protected using measures aimed at reducing unauthorized exposure or alteration.</w:t>
      </w:r>
    </w:p>
    <w:p/>
    <w:p>
      <w:r>
        <w:t xml:space="preserve">8. Protection of Information in Motion  </w:t>
      </w:r>
    </w:p>
    <w:p>
      <w:r>
        <w:t>Information transmitted across networks should be secured using suitable protective methods.</w:t>
      </w:r>
    </w:p>
    <w:p/>
    <w:p>
      <w:r>
        <w:t xml:space="preserve">9. Formal Handling of Assets During Transitions  </w:t>
      </w:r>
    </w:p>
    <w:p>
      <w:r>
        <w:t>Processes should outline how assets are controlled during transfer, removal, and end-of-life handling to ensure secure transitions.</w:t>
      </w:r>
    </w:p>
    <w:p/>
    <w:p>
      <w:r>
        <w:t xml:space="preserve">10. Sustaining Capacity Needed for Service Availability  </w:t>
      </w:r>
    </w:p>
    <w:p>
      <w:r>
        <w:t>Organizations should maintain an awareness of system capacity needs to help ensure reliable service availability.</w:t>
      </w:r>
    </w:p>
    <w:p/>
    <w:p>
      <w:r>
        <w:t xml:space="preserve">11. Measures to Reduce the Likelihood of Information Leakage  </w:t>
      </w:r>
    </w:p>
    <w:p>
      <w:r>
        <w:t>Approaches should exist to detect or mitigate unauthorized disclosure of organizational data.</w:t>
      </w:r>
    </w:p>
    <w:p/>
    <w:p>
      <w:r>
        <w:t xml:space="preserve">12. Verifying the Integrity of Critical Components  </w:t>
      </w:r>
    </w:p>
    <w:p>
      <w:r>
        <w:t>Mechanisms should be used to validate that information, software, or firmware remains free from unauthorized modification.</w:t>
      </w:r>
    </w:p>
    <w:p/>
    <w:p>
      <w:r>
        <w:t xml:space="preserve">13. Separation of Operational and Development Activities  </w:t>
      </w:r>
    </w:p>
    <w:p>
      <w:r>
        <w:t>Development and testing environments should remain distinct from operational systems to avoid unintended interactions.</w:t>
      </w:r>
    </w:p>
    <w:p/>
    <w:p>
      <w:r>
        <w:t>Protect – Operational Processes &amp; Procedural Assurance</w:t>
      </w:r>
    </w:p>
    <w:p/>
    <w:p>
      <w:r>
        <w:t xml:space="preserve">14. Establishment of Baseline System Configurations  </w:t>
      </w:r>
    </w:p>
    <w:p>
      <w:r>
        <w:t>Secure and consistent baseline configurations for critical systems should be created and maintained.</w:t>
      </w:r>
    </w:p>
    <w:p/>
    <w:p>
      <w:r>
        <w:t xml:space="preserve">15. Structured Development Life Cycle for System Evolution  </w:t>
      </w:r>
    </w:p>
    <w:p>
      <w:r>
        <w:t>A managed approach should guide how systems evolve, ensuring considerations for security remain present throughout the process.</w:t>
      </w:r>
    </w:p>
    <w:p/>
    <w:p>
      <w:r>
        <w:t xml:space="preserve">16. Oversight of Adjustments to System Configurations  </w:t>
      </w:r>
    </w:p>
    <w:p>
      <w:r>
        <w:t>Changes to system configurations should follow a controlled process that supports consistency, traceability, and security.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