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Layout w:type="fixed"/>
      </w:tblPr>
      <w:tblGrid>
        <w:gridCol w:w="100"/>
      </w:tblGrid>
      <w:tr>
        <w:trPr>
          <w:trHeight w:val="16838" w:hRule="exact"/>
        </w:trPr>
        <w:tc>
          <w:tcPr>
            <w:tcBorders>
              <w:top w:val="none" w:color="auto" w:sz="0"/>
              <w:left w:val="none" w:color="auto" w:sz="0"/>
              <w:bottom w:val="none" w:color="auto" w:sz="0"/>
              <w:right w:val="none" w:color="auto" w:sz="0"/>
            </w:tcBorders>
            <w:shd w:fill="0A1628" w:val="clear"/>
          </w:tcPr>
          <w:p>
            <w:pPr>
              <w:spacing w:before="4092"/>
            </w:pPr>
          </w:p>
          <w:p>
            <w:pPr>
              <w:pBdr>
                <w:bottom w:val="single" w:color="5B8DB8" w:sz="6" w:space="8"/>
              </w:pBdr>
              <w:spacing w:after="500"/>
              <w:ind w:left="1200" w:right="800"/>
            </w:pPr>
            <w:r>
              <w:rPr>
                <w:rFonts w:ascii="Calibri" w:eastAsia="SimHei"/>
                <w:color w:val="5B8DB8"/>
                <w:spacing w:val="40"/>
                <w:sz w:val="18"/>
                <w:szCs w:val="18"/>
              </w:rPr>
              <w:t xml:space="preserve">R  E  S  E  A  R  C  H     E  N  G  I  N  E     C  O  M  P  A  R  I  S  O  N</w:t>
            </w:r>
          </w:p>
          <w:p>
            <w:pPr>
              <w:spacing w:after="100" w:line="920" w:lineRule="atLeast"/>
              <w:ind w:left="1200"/>
            </w:pPr>
            <w:r>
              <w:rPr>
                <w:rFonts w:ascii="Arial" w:eastAsia="SimHei"/>
                <w:b/>
                <w:bCs/>
                <w:color w:val="FFFFFF"/>
                <w:sz w:val="80"/>
                <w:szCs w:val="80"/>
              </w:rPr>
              <w:t xml:space="preserve">MiniMax vs Kimi vs</w:t>
            </w:r>
          </w:p>
          <w:p>
            <w:pPr>
              <w:spacing w:after="300" w:line="920" w:lineRule="atLeast"/>
              <w:ind w:left="1200"/>
            </w:pPr>
            <w:r>
              <w:rPr>
                <w:rFonts w:ascii="Arial" w:eastAsia="SimHei"/>
                <w:b/>
                <w:bCs/>
                <w:color w:val="FFFFFF"/>
                <w:sz w:val="80"/>
                <w:szCs w:val="80"/>
              </w:rPr>
              <w:t xml:space="preserve">GPT Deep Research</w:t>
            </w:r>
          </w:p>
          <w:p>
            <w:pPr>
              <w:spacing w:after="800"/>
              <w:ind w:left="1200" w:right="800"/>
            </w:pPr>
            <w:r>
              <w:rPr>
                <w:rFonts w:ascii="Arial" w:eastAsia="Microsoft YaHei"/>
                <w:color w:val="B9C8DC"/>
                <w:sz w:val="24"/>
                <w:szCs w:val="24"/>
              </w:rPr>
              <w:t xml:space="preserve">Internet knowledge against uploaded skill files — a pre-implementation reconciliation of the three research tiers</w:t>
            </w:r>
          </w:p>
          <w:p>
            <w:pPr>
              <w:pBdr>
                <w:left w:val="single" w:color="5B8DB8" w:sz="8" w:space="12"/>
              </w:pBdr>
              <w:spacing w:after="80"/>
              <w:ind w:left="1400"/>
            </w:pPr>
            <w:r>
              <w:rPr>
                <w:rFonts w:ascii="Arial" w:eastAsia="Microsoft YaHei"/>
                <w:color w:val="D5E0EE"/>
                <w:sz w:val="24"/>
                <w:szCs w:val="24"/>
              </w:rPr>
              <w:t xml:space="preserve">Project: SahuAI-PRO-Lite / Manthan Agent v9.13</w:t>
            </w:r>
          </w:p>
          <w:p>
            <w:pPr>
              <w:pBdr>
                <w:left w:val="single" w:color="5B8DB8" w:sz="8" w:space="12"/>
              </w:pBdr>
              <w:spacing w:after="80"/>
              <w:ind w:left="1400"/>
            </w:pPr>
            <w:r>
              <w:rPr>
                <w:rFonts w:ascii="Arial" w:eastAsia="Microsoft YaHei"/>
                <w:color w:val="D5E0EE"/>
                <w:sz w:val="24"/>
                <w:szCs w:val="24"/>
              </w:rPr>
              <w:t xml:space="preserve">Scope: Normal — MiniMax · Advanced — Kimi · Ultra — GPT</w:t>
            </w:r>
          </w:p>
          <w:p>
            <w:pPr>
              <w:pBdr>
                <w:left w:val="single" w:color="5B8DB8" w:sz="8" w:space="12"/>
              </w:pBdr>
              <w:spacing w:after="80"/>
              <w:ind w:left="1400"/>
            </w:pPr>
            <w:r>
              <w:rPr>
                <w:rFonts w:ascii="Arial" w:eastAsia="Microsoft YaHei"/>
                <w:color w:val="D5E0EE"/>
                <w:sz w:val="24"/>
                <w:szCs w:val="24"/>
              </w:rPr>
              <w:t xml:space="preserve">References: MiniMax-Skills.pdf · deep-research-report.md · skills_full.pdf</w:t>
            </w:r>
          </w:p>
          <w:p>
            <w:pPr>
              <w:pBdr>
                <w:left w:val="single" w:color="5B8DB8" w:sz="8" w:space="12"/>
              </w:pBdr>
              <w:spacing w:after="80"/>
              <w:ind w:left="1400"/>
            </w:pPr>
            <w:r>
              <w:rPr>
                <w:rFonts w:ascii="Arial" w:eastAsia="Microsoft YaHei"/>
                <w:color w:val="D5E0EE"/>
                <w:sz w:val="24"/>
                <w:szCs w:val="24"/>
              </w:rPr>
              <w:t xml:space="preserve">Date: 26 September 2026</w:t>
            </w:r>
          </w:p>
          <w:p>
            <w:pPr>
              <w:spacing w:before="4092"/>
            </w:pPr>
          </w:p>
          <w:p>
            <w:pPr>
              <w:pBdr>
                <w:top w:val="single" w:color="5B8DB8" w:sz="2" w:space="8"/>
              </w:pBdr>
              <w:spacing w:before="200"/>
              <w:ind w:left="1200" w:right="800"/>
            </w:pPr>
            <w:r>
              <w:rPr>
                <w:rFonts w:ascii="Arial"/>
                <w:color w:val="8FA5BD"/>
                <w:sz w:val="16"/>
                <w:szCs w:val="16"/>
              </w:rPr>
              <w:t xml:space="preserve">Manthan Agent — Research Tiers</w:t>
            </w:r>
            <w:r>
              <w:t xml:space="preserve">                                        </w:t>
            </w:r>
            <w:r>
              <w:rPr>
                <w:rFonts w:ascii="Arial"/>
                <w:color w:val="8FA5BD"/>
                <w:sz w:val="16"/>
                <w:szCs w:val="16"/>
              </w:rPr>
              <w:t xml:space="preserve">Reconciliation Study</w:t>
            </w:r>
          </w:p>
        </w:tc>
      </w:tr>
    </w:tbl>
    <w:p>
      <w:pPr>
        <w:sectPr>
          <w:pgSz w:w="11906" w:h="16838" w:orient="portrait"/>
          <w:pgMar w:top="0" w:right="0" w:bottom="0" w:left="0" w:header="708" w:footer="708" w:gutter="0"/>
          <w:docGrid w:linePitch="360"/>
        </w:sectPr>
      </w:pPr>
    </w:p>
    <w:p>
      <w:pPr>
        <w:spacing w:after="360" w:before="480"/>
        <w:jc w:val="center"/>
      </w:pPr>
      <w:r>
        <w:rPr>
          <w:rFonts w:ascii="Arial" w:eastAsia="SimHei"/>
          <w:b/>
          <w:bCs/>
          <w:color w:val="0A1628"/>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Background, Sources and Method</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MiniMax vs MiniMax — the Normal Tier</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3.1 What the public internet says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3.2 What MiniMax-Skills.pdf specifies</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3.3 What v9.13 currently implements</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3.4 Agreement and gap analysis</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4. GPT vs GPT — the Ultra Tier</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4.1 What the public internet says</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4.2 What deep-research-report.md specifies</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4.3 What v9.13 currently implements</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4.4 Agreement and gap analysis</w:t>
            </w:r>
            <w:r>
              <w:tab/>
            </w:r>
            <w:r>
              <w:fldChar w:fldCharType="begin"/>
            </w:r>
            <w:r>
              <w:instrText xml:space="preserve"> PAGEREF _Toc100011 \h </w:instrText>
            </w:r>
            <w:r>
              <w:fldChar w:fldCharType="separate"/>
            </w:r>
            <w:r>
              <w:t>5</w:t>
            </w:r>
            <w:r>
              <w:fldChar w:fldCharType="end"/>
            </w:r>
          </w:hyperlink>
        </w:p>
        <w:p>
          <w:pPr>
            <w:pStyle w:val="9"/>
            <w:tabs>
              <w:tab w:val="right" w:leader="dot" w:pos="9026"/>
            </w:tabs>
            <w:spacing w:before="120" w:after="60"/>
          </w:pPr>
          <w:hyperlink w:anchor="_Toc100012" w:history="1">
            <w:r>
              <w:rPr>
                <w:rStyle w:val="Hyperlink"/>
              </w:rPr>
              <w:t>5. Kimi vs Kimi — the Advanced Tier</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5.1 What the public internet says</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5.2 What skills_full.pdf specifies</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5.3 What v9.13 currently implements</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5.4 Agreement and gap analysis</w:t>
            </w:r>
            <w:r>
              <w:tab/>
            </w:r>
            <w:r>
              <w:fldChar w:fldCharType="begin"/>
            </w:r>
            <w:r>
              <w:instrText xml:space="preserve"> PAGEREF _Toc100016 \h </w:instrText>
            </w:r>
            <w:r>
              <w:fldChar w:fldCharType="separate"/>
            </w:r>
            <w:r>
              <w:t>7</w:t>
            </w:r>
            <w:r>
              <w:fldChar w:fldCharType="end"/>
            </w:r>
          </w:hyperlink>
        </w:p>
        <w:p>
          <w:pPr>
            <w:pStyle w:val="9"/>
            <w:tabs>
              <w:tab w:val="right" w:leader="dot" w:pos="9026"/>
            </w:tabs>
            <w:spacing w:before="120" w:after="60"/>
          </w:pPr>
          <w:hyperlink w:anchor="_Toc100017" w:history="1">
            <w:r>
              <w:rPr>
                <w:rStyle w:val="Hyperlink"/>
              </w:rPr>
              <w:t>6. Cross-Cutting Findings</w:t>
            </w:r>
            <w:r>
              <w:tab/>
            </w:r>
            <w:r>
              <w:fldChar w:fldCharType="begin"/>
            </w:r>
            <w:r>
              <w:instrText xml:space="preserve"> PAGEREF _Toc100017 \h </w:instrText>
            </w:r>
            <w:r>
              <w:fldChar w:fldCharType="separate"/>
            </w:r>
            <w:r>
              <w:t>7</w:t>
            </w:r>
            <w:r>
              <w:fldChar w:fldCharType="end"/>
            </w:r>
          </w:hyperlink>
        </w:p>
        <w:p>
          <w:pPr>
            <w:pStyle w:val="9"/>
            <w:tabs>
              <w:tab w:val="right" w:leader="dot" w:pos="9026"/>
            </w:tabs>
            <w:spacing w:before="120" w:after="60"/>
          </w:pPr>
          <w:hyperlink w:anchor="_Toc100018" w:history="1">
            <w:r>
              <w:rPr>
                <w:rStyle w:val="Hyperlink"/>
              </w:rPr>
              <w:t>7. Conclusions and Reconciliation Recommendations</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7.1 Normal tier — MiniMax</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7.2 Advanced tier — Kimi</w:t>
            </w:r>
            <w:r>
              <w:tab/>
            </w:r>
            <w:r>
              <w:fldChar w:fldCharType="begin"/>
            </w:r>
            <w:r>
              <w:instrText xml:space="preserve"> PAGEREF _Toc100020 \h </w:instrText>
            </w:r>
            <w:r>
              <w:fldChar w:fldCharType="separate"/>
            </w:r>
            <w:r>
              <w:t>9</w:t>
            </w:r>
            <w:r>
              <w:fldChar w:fldCharType="end"/>
            </w:r>
          </w:hyperlink>
        </w:p>
        <w:p>
          <w:pPr>
            <w:pStyle w:val="11"/>
            <w:ind w:left="360"/>
            <w:tabs>
              <w:tab w:val="right" w:leader="dot" w:pos="9026"/>
            </w:tabs>
            <w:spacing w:before="120" w:after="60"/>
          </w:pPr>
          <w:hyperlink w:anchor="_Toc100021" w:history="1">
            <w:r>
              <w:rPr>
                <w:rStyle w:val="Hyperlink"/>
              </w:rPr>
              <w:t>7.3 Ultra tier — GPT</w:t>
            </w:r>
            <w:r>
              <w:tab/>
            </w:r>
            <w:r>
              <w:fldChar w:fldCharType="begin"/>
            </w:r>
            <w:r>
              <w:instrText xml:space="preserve"> PAGEREF _Toc100021 \h </w:instrText>
            </w:r>
            <w:r>
              <w:fldChar w:fldCharType="separate"/>
            </w:r>
            <w:r>
              <w:t>10</w:t>
            </w:r>
            <w:r>
              <w:fldChar w:fldCharType="end"/>
            </w:r>
          </w:hyperlink>
        </w:p>
        <w:p>
          <w:pPr>
            <w:pStyle w:val="11"/>
            <w:ind w:left="360"/>
            <w:tabs>
              <w:tab w:val="right" w:leader="dot" w:pos="9026"/>
            </w:tabs>
            <w:spacing w:before="120" w:after="60"/>
          </w:pPr>
          <w:hyperlink w:anchor="_Toc100022" w:history="1">
            <w:r>
              <w:rPr>
                <w:rStyle w:val="Hyperlink"/>
              </w:rPr>
              <w:t>7.4 Cross-tier infrastructure</w:t>
            </w:r>
            <w:r>
              <w:tab/>
            </w:r>
            <w:r>
              <w:fldChar w:fldCharType="begin"/>
            </w:r>
            <w:r>
              <w:instrText xml:space="preserve"> PAGEREF _Toc100022 \h </w:instrText>
            </w:r>
            <w:r>
              <w:fldChar w:fldCharType="separate"/>
            </w:r>
            <w:r>
              <w:t>11</w:t>
            </w:r>
            <w:r>
              <w:fldChar w:fldCharType="end"/>
            </w:r>
          </w:hyperlink>
        </w:p>
        <w:p>
          <w:r>
            <w:fldChar w:fldCharType="end"/>
          </w:r>
        </w:p>
      </w:sdtContent>
    </w:sdt>
    <w:p>
      <w:pPr>
        <w:spacing w:before="200"/>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00" w:before="420" w:line="312"/>
      </w:pPr>
      <w:bookmarkStart w:id="100000" w:name="_Toc100000"/>
      <w:r>
        <w:rPr>
          <w:rFonts w:ascii="Arial" w:eastAsia="SimHei"/>
          <w:b/>
          <w:bCs/>
          <w:color w:val="0A1628"/>
          <w:sz w:val="32"/>
          <w:szCs w:val="32"/>
        </w:rPr>
        <w:t xml:space="preserve">1. Executive Summary</w:t>
      </w:r>
      <w:bookmarkEnd w:id="100000"/>
    </w:p>
    <w:p>
      <w:pPr>
        <w:spacing w:after="160" w:line="312"/>
        <w:jc w:val="both"/>
      </w:pPr>
      <w:r>
        <w:rPr>
          <w:rFonts w:ascii="Times New Roman" w:eastAsia="SimSun"/>
          <w:b w:val="false"/>
          <w:bCs w:val="false"/>
          <w:i w:val="false"/>
          <w:iCs w:val="false"/>
          <w:color w:val="1A2B40"/>
          <w:sz w:val="24"/>
          <w:szCs w:val="24"/>
        </w:rPr>
        <w:t xml:space="preserve">This study compares two bodies of knowledge about the three research engines that power the research tiers of Manthan Agent v9.13. On one side stands what the public internet reports about the MiniMax, Kimi and OpenAI research products, which was the only basis available when the tiers were built. On the other side stand the three reference files uploaded to the GitHub repository root on 26 September 2026 — MiniMax-Skills.pdf, deep-research-report.md and skills_full.pdf — which document the engines' actual skill specifications. The purpose of the comparison is to reconcile the two before any implementation work begins. In line with the instruction received, nothing has been changed in the application file; this document records findings and recommendations only.</w:t>
      </w:r>
    </w:p>
    <w:p>
      <w:pPr>
        <w:spacing w:after="160" w:line="312"/>
        <w:jc w:val="both"/>
      </w:pPr>
      <w:r>
        <w:rPr>
          <w:rFonts w:ascii="Times New Roman" w:eastAsia="SimSun"/>
          <w:b w:val="false"/>
          <w:bCs w:val="false"/>
          <w:i w:val="false"/>
          <w:iCs w:val="false"/>
          <w:color w:val="1A2B40"/>
          <w:sz w:val="24"/>
          <w:szCs w:val="24"/>
        </w:rPr>
        <w:t xml:space="preserve">The headline conclusion is that the tier architecture itself is validated by the uploaded files. The three sources describe a natural depth gradient that matches the Normal, Advanced and Ultra mapping almost exactly: the MiniMax file specifies a compact but rigid five-step research pipeline, the Kimi file specifies a ten-plus-step iterative loop combined with demanding report-engineering standards, and the GPT document prescribes the heaviest discipline of the three — a full systematic-review methodology with quality-control checks and reproducibility requirements. The relative ordering of the engines by rigor is therefore not an artifact of the earlier internet research; it is confirmed by the primary material.</w:t>
      </w:r>
    </w:p>
    <w:p>
      <w:pPr>
        <w:spacing w:after="160" w:line="312"/>
        <w:jc w:val="both"/>
      </w:pPr>
      <w:r>
        <w:rPr>
          <w:rFonts w:ascii="Times New Roman" w:eastAsia="SimSun"/>
          <w:b w:val="false"/>
          <w:bCs w:val="false"/>
          <w:i w:val="false"/>
          <w:iCs w:val="false"/>
          <w:color w:val="1A2B40"/>
          <w:sz w:val="24"/>
          <w:szCs w:val="24"/>
        </w:rPr>
        <w:t xml:space="preserve">At the level of detail, however, the current implementation shows real distance from the files. Across the 28 comparison dimensions rated in this study, only 3 are fully aligned, 12 are partially aligned and 13 are missing. The most consequential divergences are: the Normal tier currently treats MiniMax as a quick grounded search, while the file defines it as a strict step-locked pipeline with an explicit research-plan stage and a verification gate; the Advanced tier implements the agentic mechanics of Kimi faithfully but omits its intent-clarification step, its per-round reflection format, its visualization workflow and its report-engineering contract; and the Ultra tier reproduces the observable behavior of GPT deep research but not its researcher-grade governance — the formal research plan, source-credibility rules, conservative synthesis and the final validation pass. </w:t>
      </w:r>
      <w:r>
        <w:rPr>
          <w:rFonts w:ascii="Times New Roman" w:eastAsia="SimSun"/>
          <w:b/>
          <w:bCs/>
          <w:i w:val="false"/>
          <w:iCs w:val="false"/>
          <w:color w:val="1A2B40"/>
          <w:sz w:val="24"/>
          <w:szCs w:val="24"/>
        </w:rPr>
        <w:t xml:space="preserve">Section 7 converts these findings into a concrete reconciliation plan for each tier.</w:t>
      </w:r>
    </w:p>
    <w:p>
      <w:pPr>
        <w:pStyle w:val="Heading1"/>
        <w:spacing w:after="200" w:before="420" w:line="312"/>
      </w:pPr>
      <w:bookmarkStart w:id="100001" w:name="_Toc100001"/>
      <w:r>
        <w:rPr>
          <w:rFonts w:ascii="Arial" w:eastAsia="SimHei"/>
          <w:b/>
          <w:bCs/>
          <w:color w:val="0A1628"/>
          <w:sz w:val="32"/>
          <w:szCs w:val="32"/>
        </w:rPr>
        <w:t xml:space="preserve">2. Background, Sources and Method</w:t>
      </w:r>
      <w:bookmarkEnd w:id="100001"/>
    </w:p>
    <w:p>
      <w:pPr>
        <w:spacing w:after="160" w:line="312"/>
        <w:jc w:val="both"/>
      </w:pPr>
      <w:r>
        <w:rPr>
          <w:rFonts w:ascii="Times New Roman" w:eastAsia="SimSun"/>
          <w:b w:val="false"/>
          <w:bCs w:val="false"/>
          <w:i w:val="false"/>
          <w:iCs w:val="false"/>
          <w:color w:val="1A2B40"/>
          <w:sz w:val="24"/>
          <w:szCs w:val="24"/>
        </w:rPr>
        <w:t xml:space="preserve">Manthan Agent v9.13, pushed to the repository root on 26 September 2026 (commit 08ad57d), introduced three research engines behind the existing research level selector. The Normal level runs the MiniMax engine as a quick grounded loop with a budget of 5 turns and 18 tool runs; the Advanced level runs the Kimi engine as an agentic loop with planning, reflection, backtracking and cross-verification over 12 turns and 45 tool runs; and the Ultra level runs the GPT engine as a maximum-depth loop with a plan-first checklist, step progress, citation chaining and cross-domain verification over 20 turns and 90 tool runs. All three tiers share the same activity-trail interface, sources panel and history storage, and the legacy five-stage consensus pipeline remains available as an automatic fallback. At the time that implementation was built, the three reference files attached to the original request had not reached the server, so the engines were modeled on the public methodologies of the three products.</w:t>
      </w:r>
    </w:p>
    <w:p>
      <w:pPr>
        <w:spacing w:after="160" w:line="312"/>
        <w:jc w:val="both"/>
      </w:pPr>
      <w:r>
        <w:rPr>
          <w:rFonts w:ascii="Times New Roman" w:eastAsia="SimSun"/>
          <w:b w:val="false"/>
          <w:bCs w:val="false"/>
          <w:i w:val="false"/>
          <w:iCs w:val="false"/>
          <w:color w:val="1A2B40"/>
          <w:sz w:val="24"/>
          <w:szCs w:val="24"/>
        </w:rPr>
        <w:t xml:space="preserve">That gap closed on 26 September 2026, when the reference set was uploaded to the repository root in commit 66443cb. Three of the uploaded files concern research directly. MiniMax-Skills.pdf is an eight-page operator manual titled The Skill Atlas for the MAVIS MiniMax agent environment, documenting 17 skills across four categories. deep-research-report.md is a 272-line comprehensive guide to operating the Deep Research mode of ChatGPT as a researcher. skills_full.pdf is a 1,073-page collection of 271 complete skill definitions from the Kimi agent environment, including the two variants of its deep-research skill. Together they are the most authoritative description available of the internal discipline of the three engines.</w:t>
      </w:r>
    </w:p>
    <w:p>
      <w:pPr>
        <w:spacing w:after="160" w:line="312"/>
        <w:jc w:val="both"/>
      </w:pPr>
      <w:r>
        <w:rPr>
          <w:rFonts w:ascii="Times New Roman" w:eastAsia="SimSun"/>
          <w:b w:val="false"/>
          <w:bCs w:val="false"/>
          <w:i w:val="false"/>
          <w:iCs w:val="false"/>
          <w:color w:val="1A2B40"/>
          <w:sz w:val="24"/>
          <w:szCs w:val="24"/>
        </w:rPr>
        <w:t xml:space="preserve">The method of this study is a structured four-step comparison per engine. First, the internet picture was assembled from official and press sources: the Kimi help center's Deep Research overview, public coverage of the February 2025 OpenAI Deep Research launch, and public reporting on MiniMax Agent and its M2-series models. Second, each uploaded file was extracted to full text and read end to end, with every research-relevant rule catalogued. Third, the current v9.13 tier implementations were re-read from the shipped source to establish exactly what exists today. Fourth, the three accounts were compared along four dimensions — pipeline shape, research governance, output contract and ecosystem — and each comparison row was rated as ALIGNED, PARTIAL or MISSING. The full per-engine tables appear in Sections 3 to 5; cross-cutting findings follow in Section 6.</w:t>
      </w:r>
    </w:p>
    <w:p>
      <w:pPr>
        <w:pBdr>
          <w:left w:val="single" w:color="5B8DB8" w:sz="6" w:space="10"/>
        </w:pBdr>
        <w:spacing w:after="200" w:line="312"/>
        <w:ind w:left="240"/>
        <w:jc w:val="left"/>
      </w:pPr>
      <w:r>
        <w:rPr>
          <w:rFonts w:ascii="Times New Roman" w:eastAsia="SimSun"/>
          <w:i/>
          <w:iCs/>
          <w:color w:val="6878A0"/>
          <w:sz w:val="20"/>
          <w:szCs w:val="20"/>
        </w:rPr>
        <w:t xml:space="preserve">Internet sources consulted (fetched 26 September 2026): Kimi official help center, Deep Research overview (kimi.com/help/deep-research); public launch coverage of OpenAI Deep Research, February 2025, including 36Kr, The Guardian syndication via Inkl, Forward Future and GPT-R documentation; the Hugging Face MiniMax M2.5 model card and deployment reporting by Futu News and 36Kr. Uploaded references: MiniMax-Skills.pdf (8 pages), deep-research-report.md (272 lines), skills_full.pdf (1,073 pages).</w:t>
      </w:r>
    </w:p>
    <w:p>
      <w:pPr>
        <w:pStyle w:val="Heading1"/>
        <w:spacing w:after="200" w:before="420" w:line="312"/>
      </w:pPr>
      <w:bookmarkStart w:id="100002" w:name="_Toc100002"/>
      <w:r>
        <w:rPr>
          <w:rFonts w:ascii="Arial" w:eastAsia="SimHei"/>
          <w:b/>
          <w:bCs/>
          <w:color w:val="0A1628"/>
          <w:sz w:val="32"/>
          <w:szCs w:val="32"/>
        </w:rPr>
        <w:t xml:space="preserve">3. MiniMax vs MiniMax — the Normal Tier</w:t>
      </w:r>
      <w:bookmarkEnd w:id="100002"/>
    </w:p>
    <w:p>
      <w:pPr>
        <w:pStyle w:val="Heading2"/>
        <w:spacing w:after="140" w:before="280" w:line="312"/>
      </w:pPr>
      <w:bookmarkStart w:id="100003" w:name="_Toc100003"/>
      <w:r>
        <w:rPr>
          <w:rFonts w:ascii="Arial" w:eastAsia="SimHei"/>
          <w:b/>
          <w:bCs/>
          <w:color w:val="0A1628"/>
          <w:sz w:val="26"/>
          <w:szCs w:val="26"/>
        </w:rPr>
        <w:t xml:space="preserve">3.1 What the public internet says</w:t>
      </w:r>
      <w:bookmarkEnd w:id="100003"/>
    </w:p>
    <w:p>
      <w:pPr>
        <w:spacing w:after="160" w:line="312"/>
        <w:jc w:val="both"/>
      </w:pPr>
      <w:r>
        <w:rPr>
          <w:rFonts w:ascii="Times New Roman" w:eastAsia="SimSun"/>
          <w:b w:val="false"/>
          <w:bCs w:val="false"/>
          <w:i w:val="false"/>
          <w:iCs w:val="false"/>
          <w:color w:val="1A2B40"/>
          <w:sz w:val="24"/>
          <w:szCs w:val="24"/>
        </w:rPr>
        <w:t xml:space="preserve">MiniMax Agent is the company's consumer agent product, and the M2 series — M2, M2.5 and the later M2.7 — are the open-weight agentic models that power it. Public materials confirm that M2.5 has been fully deployed inside MiniMax Agent and that the model ships together with the surrounding agent environment: skills, a browser, file tools, Office integrations and a cloud execution sandbox. What the public record does not contain is the internal structure of any individual skill. There is no public document describing how the research skill orders its steps, when it plans, or how it verifies its results.</w:t>
      </w:r>
    </w:p>
    <w:p>
      <w:pPr>
        <w:spacing w:after="160" w:line="312"/>
        <w:jc w:val="both"/>
      </w:pPr>
      <w:r>
        <w:rPr>
          <w:rFonts w:ascii="Times New Roman" w:eastAsia="SimSun"/>
          <w:b w:val="false"/>
          <w:bCs w:val="false"/>
          <w:i w:val="false"/>
          <w:iCs w:val="false"/>
          <w:color w:val="1A2B40"/>
          <w:sz w:val="24"/>
          <w:szCs w:val="24"/>
        </w:rPr>
        <w:t xml:space="preserve">This absence shaped the original v9.13 design. With only product-level signals available — MiniMax's public positioning around speed, efficiency and agentic breadth — the Normal tier was modeled as the fast engine: a quick grounded loop that fires parallel searches, trims sources aggressively and writes a compact table report, deliberately without a planning or verification stage. The assumption was that MiniMax, as the lightest of the three engines in public perception, should map to the lightest research mode.</w:t>
      </w:r>
    </w:p>
    <w:p>
      <w:pPr>
        <w:pStyle w:val="Heading2"/>
        <w:spacing w:after="140" w:before="280" w:line="312"/>
      </w:pPr>
      <w:bookmarkStart w:id="100004" w:name="_Toc100004"/>
      <w:r>
        <w:rPr>
          <w:rFonts w:ascii="Arial" w:eastAsia="SimHei"/>
          <w:b/>
          <w:bCs/>
          <w:color w:val="0A1628"/>
          <w:sz w:val="26"/>
          <w:szCs w:val="26"/>
        </w:rPr>
        <w:t xml:space="preserve">3.2 What MiniMax-Skills.pdf specifies</w:t>
      </w:r>
      <w:bookmarkEnd w:id="100004"/>
    </w:p>
    <w:p>
      <w:pPr>
        <w:spacing w:after="160" w:line="312"/>
        <w:jc w:val="both"/>
      </w:pPr>
      <w:r>
        <w:rPr>
          <w:rFonts w:ascii="Times New Roman" w:eastAsia="SimSun"/>
          <w:b w:val="false"/>
          <w:bCs w:val="false"/>
          <w:i w:val="false"/>
          <w:iCs w:val="false"/>
          <w:color w:val="1A2B40"/>
          <w:sz w:val="24"/>
          <w:szCs w:val="24"/>
        </w:rPr>
        <w:t xml:space="preserve">The uploaded file reveals a different picture. The Skill Atlas documents the MAVIS environment's operating principles: skills load on demand, follow strict step order, and ship with verification gates that must run before any result is declared done. Within that environment, deep-research is a hosted single-call skill for open-ended, source-dependent questions — market and industry analysis, technical comparisons, competitor scans, regulatory surveys, trend judgments and any claim that must be defensible. The skill is explicitly not for casual factual recall, one-line answers, tasks that need no sources, or real-time data; for those, the manual prescribes a single direct web search instead. This scope gating is itself a research-governance feature the current implementation lacks.</w:t>
      </w:r>
    </w:p>
    <w:p>
      <w:pPr>
        <w:spacing w:after="160" w:line="312"/>
        <w:jc w:val="both"/>
      </w:pPr>
      <w:r>
        <w:rPr>
          <w:rFonts w:ascii="Times New Roman" w:eastAsia="SimSun"/>
          <w:b w:val="false"/>
          <w:bCs w:val="false"/>
          <w:i w:val="false"/>
          <w:iCs w:val="false"/>
          <w:color w:val="1A2B40"/>
          <w:sz w:val="24"/>
          <w:szCs w:val="24"/>
        </w:rPr>
        <w:t xml:space="preserve">The core of the skill is a rigid five-step pipeline. Step 1 confirms the factual background of the question. Step 2 understands the question and judges the direction of investigation. Step 3 performs deep analysis and builds an explicit research plan. Step 4 searches, verifies, and forms the actual research understanding. Step 5 writes the final answer file for the current turn. The discipline is enforced mechanically: each step's prompt file must be read by an explicit tool call before that step starts, and skipping or reordering steps is treated as an invalid trace — the run does not count. The skill is also opinionated about citation, source hierarchy and verification gates, meaning the quality rules are part of the skill itself, not left to the model's discretion.</w:t>
      </w:r>
    </w:p>
    <w:p>
      <w:pPr>
        <w:spacing w:after="160" w:line="312"/>
        <w:jc w:val="both"/>
      </w:pPr>
      <w:r>
        <w:rPr>
          <w:rFonts w:ascii="Times New Roman" w:eastAsia="SimSun"/>
          <w:b w:val="false"/>
          <w:bCs w:val="false"/>
          <w:i w:val="false"/>
          <w:iCs w:val="false"/>
          <w:color w:val="1A2B40"/>
          <w:sz w:val="24"/>
          <w:szCs w:val="24"/>
        </w:rPr>
        <w:t xml:space="preserve">The file also documents the surrounding ecosystem the research skill can draw on: plan-mode forces a structured discussion before any execution begins; the team skill launches a roster of sub-agents in parallel, runs them in the background, polls their results and synthesizes a unified answer; mcode-tools-master unlocks connected applications such as Google Workspace, Notion and Slack; and skill-creator packages repeated workflows into new persistent skills. None of this ecosystem has a counterpart in the current v9.13 implementation at any tier, and it is a genuine architectural difference rather than a prompt-level detail.</w:t>
      </w:r>
    </w:p>
    <w:p>
      <w:pPr>
        <w:pStyle w:val="Heading2"/>
        <w:spacing w:after="140" w:before="280" w:line="312"/>
      </w:pPr>
      <w:bookmarkStart w:id="100005" w:name="_Toc100005"/>
      <w:r>
        <w:rPr>
          <w:rFonts w:ascii="Arial" w:eastAsia="SimHei"/>
          <w:b/>
          <w:bCs/>
          <w:color w:val="0A1628"/>
          <w:sz w:val="26"/>
          <w:szCs w:val="26"/>
        </w:rPr>
        <w:t xml:space="preserve">3.3 What v9.13 currently implements</w:t>
      </w:r>
      <w:bookmarkEnd w:id="100005"/>
    </w:p>
    <w:p>
      <w:pPr>
        <w:spacing w:after="160" w:line="312"/>
        <w:jc w:val="both"/>
      </w:pPr>
      <w:r>
        <w:rPr>
          <w:rFonts w:ascii="Times New Roman" w:eastAsia="SimSun"/>
          <w:b w:val="false"/>
          <w:bCs w:val="false"/>
          <w:i w:val="false"/>
          <w:iCs w:val="false"/>
          <w:color w:val="1A2B40"/>
          <w:sz w:val="24"/>
          <w:szCs w:val="24"/>
        </w:rPr>
        <w:t xml:space="preserve">The Normal tier today is a quick grounded loop. It fires up to 18 tool runs across 5 turns, deduplicates queries, runs the enabled search engines in parallel, truncates each source to 2,600 characters, and caps the pool at 16 sources. Planning, step progress, reflection, backtracking and verification are all disabled at this level by configuration flags, and the report contract is a 600 to 1,200 word answer with a comparison table. Source seeding happens only when the pre-search marker proves freshness, which keeps grounding honest. But there is no research plan, no verification gate, no step-order enforcement and no file output — the report lands in the chat, and nothing is written to disk.</w:t>
      </w:r>
    </w:p>
    <w:p>
      <w:pPr>
        <w:pStyle w:val="Heading2"/>
        <w:spacing w:after="140" w:before="280" w:line="312"/>
      </w:pPr>
      <w:bookmarkStart w:id="100006" w:name="_Toc100006"/>
      <w:r>
        <w:rPr>
          <w:rFonts w:ascii="Arial" w:eastAsia="SimHei"/>
          <w:b/>
          <w:bCs/>
          <w:color w:val="0A1628"/>
          <w:sz w:val="26"/>
          <w:szCs w:val="26"/>
        </w:rPr>
        <w:t xml:space="preserve">3.4 Agreement and gap analysis</w:t>
      </w:r>
      <w:bookmarkEnd w:id="100006"/>
    </w:p>
    <w:p>
      <w:pPr>
        <w:spacing w:after="160" w:line="312"/>
        <w:jc w:val="both"/>
      </w:pPr>
      <w:r>
        <w:rPr>
          <w:rFonts w:ascii="Times New Roman" w:eastAsia="SimSun"/>
          <w:b w:val="false"/>
          <w:bCs w:val="false"/>
          <w:i w:val="false"/>
          <w:iCs w:val="false"/>
          <w:color w:val="1A2B40"/>
          <w:sz w:val="24"/>
          <w:szCs w:val="24"/>
        </w:rPr>
        <w:t xml:space="preserve">Table 1 rates the Normal tier against both sources on eight dimensions. The status column records how the current implementation stands against the file's specification.</w:t>
      </w:r>
    </w:p>
    <w:p>
      <w:pPr>
        <w:keepNext/>
        <w:spacing w:after="100" w:before="120" w:line="312"/>
      </w:pPr>
      <w:r>
        <w:rPr>
          <w:rFonts w:ascii="Times New Roman" w:eastAsia="SimSun"/>
          <w:b/>
          <w:bCs/>
          <w:color w:val="0A1628"/>
          <w:sz w:val="21"/>
          <w:szCs w:val="21"/>
        </w:rPr>
        <w:t xml:space="preserve">Table 1 — MiniMax engine: internet basis vs uploaded specification vs current implementation</w:t>
      </w:r>
    </w:p>
    <w:tbl>
      <w:tblPr>
        <w:tblW w:type="pct" w:w="100%"/>
        <w:tblBorders>
          <w:top w:val="single" w:color="5B8DB8" w:sz="6"/>
          <w:left w:val="none" w:color="auto" w:sz="0"/>
          <w:bottom w:val="single" w:color="5B8DB8" w:sz="6"/>
          <w:right w:val="none" w:color="auto" w:sz="0"/>
          <w:insideH w:val="single" w:color="D9E2EC" w:sz="2"/>
          <w:insideV w:val="single" w:color="E4EBF2" w:sz="2"/>
        </w:tblBorders>
      </w:tblPr>
      <w:tblGrid>
        <w:gridCol w:w="100"/>
        <w:gridCol w:w="100"/>
        <w:gridCol w:w="100"/>
        <w:gridCol w:w="100"/>
      </w:tblGrid>
      <w:tr>
        <w:trPr>
          <w:cantSplit/>
          <w:tblHeader/>
        </w:trPr>
        <w:tc>
          <w:tcPr>
            <w:tcW w:type="pct" w:w="16%"/>
            <w:shd w:fill="E9F1F8" w:val="clear"/>
            <w:tcMar>
              <w:top w:type="dxa" w:w="80"/>
              <w:left w:type="dxa" w:w="110"/>
              <w:bottom w:type="dxa" w:w="80"/>
              <w:right w:type="dxa" w:w="110"/>
            </w:tcMar>
          </w:tcPr>
          <w:p>
            <w:pPr>
              <w:spacing w:line="276"/>
            </w:pPr>
            <w:r>
              <w:rPr>
                <w:rFonts w:ascii="Times New Roman" w:eastAsia="SimSun"/>
                <w:b/>
                <w:bCs/>
                <w:color w:val="0A1628"/>
                <w:sz w:val="18"/>
                <w:szCs w:val="18"/>
              </w:rPr>
              <w:t xml:space="preserve">Dimension</w:t>
            </w:r>
          </w:p>
        </w:tc>
        <w:tc>
          <w:tcPr>
            <w:tcW w:type="pct" w:w="30%"/>
            <w:shd w:fill="E9F1F8" w:val="clear"/>
            <w:tcMar>
              <w:top w:type="dxa" w:w="80"/>
              <w:left w:type="dxa" w:w="110"/>
              <w:bottom w:type="dxa" w:w="80"/>
              <w:right w:type="dxa" w:w="110"/>
            </w:tcMar>
          </w:tcPr>
          <w:p>
            <w:pPr>
              <w:spacing w:line="276"/>
            </w:pPr>
            <w:r>
              <w:rPr>
                <w:rFonts w:ascii="Times New Roman" w:eastAsia="SimSun"/>
                <w:b/>
                <w:bCs/>
                <w:color w:val="0A1628"/>
                <w:sz w:val="18"/>
                <w:szCs w:val="18"/>
              </w:rPr>
              <w:t xml:space="preserve">Internet knowledge (v9.13 basis)</w:t>
            </w:r>
          </w:p>
        </w:tc>
        <w:tc>
          <w:tcPr>
            <w:tcW w:type="pct" w:w="32%"/>
            <w:shd w:fill="E9F1F8" w:val="clear"/>
            <w:tcMar>
              <w:top w:type="dxa" w:w="80"/>
              <w:left w:type="dxa" w:w="110"/>
              <w:bottom w:type="dxa" w:w="80"/>
              <w:right w:type="dxa" w:w="110"/>
            </w:tcMar>
          </w:tcPr>
          <w:p>
            <w:pPr>
              <w:spacing w:line="276"/>
            </w:pPr>
            <w:r>
              <w:rPr>
                <w:rFonts w:ascii="Times New Roman" w:eastAsia="SimSun"/>
                <w:b/>
                <w:bCs/>
                <w:color w:val="0A1628"/>
                <w:sz w:val="18"/>
                <w:szCs w:val="18"/>
              </w:rPr>
              <w:t xml:space="preserve">Your uploaded file specifies</w:t>
            </w:r>
          </w:p>
        </w:tc>
        <w:tc>
          <w:tcPr>
            <w:tcW w:type="pct" w:w="22%"/>
            <w:shd w:fill="E9F1F8" w:val="clear"/>
            <w:tcMar>
              <w:top w:type="dxa" w:w="80"/>
              <w:left w:type="dxa" w:w="110"/>
              <w:bottom w:type="dxa" w:w="80"/>
              <w:right w:type="dxa" w:w="110"/>
            </w:tcMar>
          </w:tcPr>
          <w:p>
            <w:pPr>
              <w:spacing w:line="276"/>
            </w:pPr>
            <w:r>
              <w:rPr>
                <w:rFonts w:ascii="Times New Roman" w:eastAsia="SimSun"/>
                <w:b/>
                <w:bCs/>
                <w:color w:val="0A1628"/>
                <w:sz w:val="18"/>
                <w:szCs w:val="18"/>
              </w:rPr>
              <w:t xml:space="preserve">v9.13 status</w:t>
            </w:r>
          </w:p>
        </w:tc>
      </w:tr>
      <w:tr>
        <w:trPr>
          <w:cantSplit/>
        </w:trPr>
        <w:tc>
          <w:tcPr>
            <w:tcW w:type="pct" w:w="16%"/>
            <w:tcMar>
              <w:top w:type="dxa" w:w="80"/>
              <w:left w:type="dxa" w:w="110"/>
              <w:bottom w:type="dxa" w:w="80"/>
              <w:right w:type="dxa" w:w="110"/>
            </w:tcMar>
          </w:tcPr>
          <w:p>
            <w:pPr>
              <w:spacing w:line="276"/>
            </w:pPr>
            <w:r>
              <w:rPr>
                <w:rFonts w:ascii="Times New Roman" w:eastAsia="SimSun"/>
                <w:b/>
                <w:bCs/>
                <w:color w:val="0A1628"/>
                <w:sz w:val="18"/>
                <w:szCs w:val="18"/>
              </w:rPr>
              <w:t xml:space="preserve">Grounding contract</w:t>
            </w:r>
          </w:p>
        </w:tc>
        <w:tc>
          <w:tcPr>
            <w:tcW w:type="pct" w:w="30%"/>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Fast, grounded, citation-first product positioning</w:t>
            </w:r>
          </w:p>
        </w:tc>
        <w:tc>
          <w:tcPr>
            <w:tcW w:type="pct" w:w="32%"/>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Citation-first, defensible claims, opinionated source hierarchy</w:t>
            </w:r>
          </w:p>
        </w:tc>
        <w:tc>
          <w:tcPr>
            <w:tcW w:type="pct" w:w="22%"/>
            <w:tcMar>
              <w:top w:type="dxa" w:w="80"/>
              <w:left w:type="dxa" w:w="110"/>
              <w:bottom w:type="dxa" w:w="80"/>
              <w:right w:type="dxa" w:w="110"/>
            </w:tcMar>
          </w:tcPr>
          <w:p>
            <w:pPr>
              <w:spacing w:line="276"/>
            </w:pPr>
            <w:r>
              <w:rPr>
                <w:rFonts w:ascii="Times New Roman" w:eastAsia="SimSun"/>
                <w:b/>
                <w:bCs/>
                <w:color w:val="2E7D32"/>
                <w:sz w:val="18"/>
                <w:szCs w:val="18"/>
              </w:rPr>
              <w:t xml:space="preserve">ALIGNED</w:t>
            </w:r>
            <w:r>
              <w:rPr>
                <w:rFonts w:ascii="Times New Roman" w:eastAsia="SimSun"/>
                <w:b w:val="false"/>
                <w:bCs w:val="false"/>
                <w:color w:val="1A2B40"/>
                <w:sz w:val="18"/>
                <w:szCs w:val="18"/>
              </w:rPr>
              <w:t xml:space="preserve"> — grounded parallel search with citations</w:t>
            </w:r>
          </w:p>
        </w:tc>
      </w:tr>
      <w:tr>
        <w:trPr>
          <w:cantSplit/>
        </w:trPr>
        <w:tc>
          <w:tcPr>
            <w:tcW w:type="pct" w:w="16%"/>
            <w:tcMar>
              <w:top w:type="dxa" w:w="80"/>
              <w:left w:type="dxa" w:w="110"/>
              <w:bottom w:type="dxa" w:w="80"/>
              <w:right w:type="dxa" w:w="110"/>
            </w:tcMar>
          </w:tcPr>
          <w:p>
            <w:pPr>
              <w:spacing w:line="276"/>
            </w:pPr>
            <w:r>
              <w:rPr>
                <w:rFonts w:ascii="Times New Roman" w:eastAsia="SimSun"/>
                <w:b/>
                <w:bCs/>
                <w:color w:val="0A1628"/>
                <w:sz w:val="18"/>
                <w:szCs w:val="18"/>
              </w:rPr>
              <w:t xml:space="preserve">Pipeline shape</w:t>
            </w:r>
          </w:p>
        </w:tc>
        <w:tc>
          <w:tcPr>
            <w:tcW w:type="pct" w:w="30%"/>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Quick multi-search loop assumed</w:t>
            </w:r>
          </w:p>
        </w:tc>
        <w:tc>
          <w:tcPr>
            <w:tcW w:type="pct" w:w="32%"/>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Rigid five-step trace: background, direction, analysis and plan, search and verify, write</w:t>
            </w:r>
          </w:p>
        </w:tc>
        <w:tc>
          <w:tcPr>
            <w:tcW w:type="pct" w:w="22%"/>
            <w:tcMar>
              <w:top w:type="dxa" w:w="80"/>
              <w:left w:type="dxa" w:w="110"/>
              <w:bottom w:type="dxa" w:w="80"/>
              <w:right w:type="dxa" w:w="110"/>
            </w:tcMar>
          </w:tcPr>
          <w:p>
            <w:pPr>
              <w:spacing w:line="276"/>
            </w:pPr>
            <w:r>
              <w:rPr>
                <w:rFonts w:ascii="Times New Roman" w:eastAsia="SimSun"/>
                <w:b/>
                <w:bCs/>
                <w:color w:val="9C6B10"/>
                <w:sz w:val="18"/>
                <w:szCs w:val="18"/>
              </w:rPr>
              <w:t xml:space="preserve">PARTIAL</w:t>
            </w:r>
            <w:r>
              <w:rPr>
                <w:rFonts w:ascii="Times New Roman" w:eastAsia="SimSun"/>
                <w:b w:val="false"/>
                <w:bCs w:val="false"/>
                <w:color w:val="1A2B40"/>
                <w:sz w:val="18"/>
                <w:szCs w:val="18"/>
              </w:rPr>
              <w:t xml:space="preserve"> — steps exist implicitly, order not locked</w:t>
            </w:r>
          </w:p>
        </w:tc>
      </w:tr>
      <w:tr>
        <w:trPr>
          <w:cantSplit/>
        </w:trPr>
        <w:tc>
          <w:tcPr>
            <w:tcW w:type="pct" w:w="16%"/>
            <w:tcMar>
              <w:top w:type="dxa" w:w="80"/>
              <w:left w:type="dxa" w:w="110"/>
              <w:bottom w:type="dxa" w:w="80"/>
              <w:right w:type="dxa" w:w="110"/>
            </w:tcMar>
          </w:tcPr>
          <w:p>
            <w:pPr>
              <w:spacing w:line="276"/>
            </w:pPr>
            <w:r>
              <w:rPr>
                <w:rFonts w:ascii="Times New Roman" w:eastAsia="SimSun"/>
                <w:b/>
                <w:bCs/>
                <w:color w:val="0A1628"/>
                <w:sz w:val="18"/>
                <w:szCs w:val="18"/>
              </w:rPr>
              <w:t xml:space="preserve">Research plan</w:t>
            </w:r>
          </w:p>
        </w:tc>
        <w:tc>
          <w:tcPr>
            <w:tcW w:type="pct" w:w="30%"/>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None at this level</w:t>
            </w:r>
          </w:p>
        </w:tc>
        <w:tc>
          <w:tcPr>
            <w:tcW w:type="pct" w:w="32%"/>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Step 3 builds an explicit research plan before any searching</w:t>
            </w:r>
          </w:p>
        </w:tc>
        <w:tc>
          <w:tcPr>
            <w:tcW w:type="pct" w:w="22%"/>
            <w:tcMar>
              <w:top w:type="dxa" w:w="80"/>
              <w:left w:type="dxa" w:w="110"/>
              <w:bottom w:type="dxa" w:w="80"/>
              <w:right w:type="dxa" w:w="110"/>
            </w:tcMar>
          </w:tcPr>
          <w:p>
            <w:pPr>
              <w:spacing w:line="276"/>
            </w:pPr>
            <w:r>
              <w:rPr>
                <w:rFonts w:ascii="Times New Roman" w:eastAsia="SimSun"/>
                <w:b/>
                <w:bCs/>
                <w:color w:val="B03A2E"/>
                <w:sz w:val="18"/>
                <w:szCs w:val="18"/>
              </w:rPr>
              <w:t xml:space="preserve">MISSING</w:t>
            </w:r>
            <w:r>
              <w:rPr>
                <w:rFonts w:ascii="Times New Roman" w:eastAsia="SimSun"/>
                <w:b w:val="false"/>
                <w:bCs w:val="false"/>
                <w:color w:val="1A2B40"/>
                <w:sz w:val="18"/>
                <w:szCs w:val="18"/>
              </w:rPr>
              <w:t xml:space="preserve"/>
            </w:r>
          </w:p>
        </w:tc>
      </w:tr>
      <w:tr>
        <w:trPr>
          <w:cantSplit/>
        </w:trPr>
        <w:tc>
          <w:tcPr>
            <w:tcW w:type="pct" w:w="16%"/>
            <w:tcMar>
              <w:top w:type="dxa" w:w="80"/>
              <w:left w:type="dxa" w:w="110"/>
              <w:bottom w:type="dxa" w:w="80"/>
              <w:right w:type="dxa" w:w="110"/>
            </w:tcMar>
          </w:tcPr>
          <w:p>
            <w:pPr>
              <w:spacing w:line="276"/>
            </w:pPr>
            <w:r>
              <w:rPr>
                <w:rFonts w:ascii="Times New Roman" w:eastAsia="SimSun"/>
                <w:b/>
                <w:bCs/>
                <w:color w:val="0A1628"/>
                <w:sz w:val="18"/>
                <w:szCs w:val="18"/>
              </w:rPr>
              <w:t xml:space="preserve">Verification</w:t>
            </w:r>
          </w:p>
        </w:tc>
        <w:tc>
          <w:tcPr>
            <w:tcW w:type="pct" w:w="30%"/>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Not enabled at this level</w:t>
            </w:r>
          </w:p>
        </w:tc>
        <w:tc>
          <w:tcPr>
            <w:tcW w:type="pct" w:w="32%"/>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Step 4 verifies before writing; verification gates are environment-wide</w:t>
            </w:r>
          </w:p>
        </w:tc>
        <w:tc>
          <w:tcPr>
            <w:tcW w:type="pct" w:w="22%"/>
            <w:tcMar>
              <w:top w:type="dxa" w:w="80"/>
              <w:left w:type="dxa" w:w="110"/>
              <w:bottom w:type="dxa" w:w="80"/>
              <w:right w:type="dxa" w:w="110"/>
            </w:tcMar>
          </w:tcPr>
          <w:p>
            <w:pPr>
              <w:spacing w:line="276"/>
            </w:pPr>
            <w:r>
              <w:rPr>
                <w:rFonts w:ascii="Times New Roman" w:eastAsia="SimSun"/>
                <w:b/>
                <w:bCs/>
                <w:color w:val="B03A2E"/>
                <w:sz w:val="18"/>
                <w:szCs w:val="18"/>
              </w:rPr>
              <w:t xml:space="preserve">MISSING</w:t>
            </w:r>
            <w:r>
              <w:rPr>
                <w:rFonts w:ascii="Times New Roman" w:eastAsia="SimSun"/>
                <w:b w:val="false"/>
                <w:bCs w:val="false"/>
                <w:color w:val="1A2B40"/>
                <w:sz w:val="18"/>
                <w:szCs w:val="18"/>
              </w:rPr>
              <w:t xml:space="preserve"/>
            </w:r>
          </w:p>
        </w:tc>
      </w:tr>
      <w:tr>
        <w:trPr>
          <w:cantSplit/>
        </w:trPr>
        <w:tc>
          <w:tcPr>
            <w:tcW w:type="pct" w:w="16%"/>
            <w:tcMar>
              <w:top w:type="dxa" w:w="80"/>
              <w:left w:type="dxa" w:w="110"/>
              <w:bottom w:type="dxa" w:w="80"/>
              <w:right w:type="dxa" w:w="110"/>
            </w:tcMar>
          </w:tcPr>
          <w:p>
            <w:pPr>
              <w:spacing w:line="276"/>
            </w:pPr>
            <w:r>
              <w:rPr>
                <w:rFonts w:ascii="Times New Roman" w:eastAsia="SimSun"/>
                <w:b/>
                <w:bCs/>
                <w:color w:val="0A1628"/>
                <w:sz w:val="18"/>
                <w:szCs w:val="18"/>
              </w:rPr>
              <w:t xml:space="preserve">Step-order enforcement</w:t>
            </w:r>
          </w:p>
        </w:tc>
        <w:tc>
          <w:tcPr>
            <w:tcW w:type="pct" w:w="30%"/>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None</w:t>
            </w:r>
          </w:p>
        </w:tc>
        <w:tc>
          <w:tcPr>
            <w:tcW w:type="pct" w:w="32%"/>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Each step prompt must be read before the step starts; skipping or reordering is an invalid trace</w:t>
            </w:r>
          </w:p>
        </w:tc>
        <w:tc>
          <w:tcPr>
            <w:tcW w:type="pct" w:w="22%"/>
            <w:tcMar>
              <w:top w:type="dxa" w:w="80"/>
              <w:left w:type="dxa" w:w="110"/>
              <w:bottom w:type="dxa" w:w="80"/>
              <w:right w:type="dxa" w:w="110"/>
            </w:tcMar>
          </w:tcPr>
          <w:p>
            <w:pPr>
              <w:spacing w:line="276"/>
            </w:pPr>
            <w:r>
              <w:rPr>
                <w:rFonts w:ascii="Times New Roman" w:eastAsia="SimSun"/>
                <w:b/>
                <w:bCs/>
                <w:color w:val="B03A2E"/>
                <w:sz w:val="18"/>
                <w:szCs w:val="18"/>
              </w:rPr>
              <w:t xml:space="preserve">MISSING</w:t>
            </w:r>
            <w:r>
              <w:rPr>
                <w:rFonts w:ascii="Times New Roman" w:eastAsia="SimSun"/>
                <w:b w:val="false"/>
                <w:bCs w:val="false"/>
                <w:color w:val="1A2B40"/>
                <w:sz w:val="18"/>
                <w:szCs w:val="18"/>
              </w:rPr>
              <w:t xml:space="preserve"/>
            </w:r>
          </w:p>
        </w:tc>
      </w:tr>
      <w:tr>
        <w:trPr>
          <w:cantSplit/>
        </w:trPr>
        <w:tc>
          <w:tcPr>
            <w:tcW w:type="pct" w:w="16%"/>
            <w:tcMar>
              <w:top w:type="dxa" w:w="80"/>
              <w:left w:type="dxa" w:w="110"/>
              <w:bottom w:type="dxa" w:w="80"/>
              <w:right w:type="dxa" w:w="110"/>
            </w:tcMar>
          </w:tcPr>
          <w:p>
            <w:pPr>
              <w:spacing w:line="276"/>
            </w:pPr>
            <w:r>
              <w:rPr>
                <w:rFonts w:ascii="Times New Roman" w:eastAsia="SimSun"/>
                <w:b/>
                <w:bCs/>
                <w:color w:val="0A1628"/>
                <w:sz w:val="18"/>
                <w:szCs w:val="18"/>
              </w:rPr>
              <w:t xml:space="preserve">Scope gating</w:t>
            </w:r>
          </w:p>
        </w:tc>
        <w:tc>
          <w:tcPr>
            <w:tcW w:type="pct" w:w="30%"/>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None</w:t>
            </w:r>
          </w:p>
        </w:tc>
        <w:tc>
          <w:tcPr>
            <w:tcW w:type="pct" w:w="32%"/>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When-not-to-use rules; trivial or real-time questions route to a single search</w:t>
            </w:r>
          </w:p>
        </w:tc>
        <w:tc>
          <w:tcPr>
            <w:tcW w:type="pct" w:w="22%"/>
            <w:tcMar>
              <w:top w:type="dxa" w:w="80"/>
              <w:left w:type="dxa" w:w="110"/>
              <w:bottom w:type="dxa" w:w="80"/>
              <w:right w:type="dxa" w:w="110"/>
            </w:tcMar>
          </w:tcPr>
          <w:p>
            <w:pPr>
              <w:spacing w:line="276"/>
            </w:pPr>
            <w:r>
              <w:rPr>
                <w:rFonts w:ascii="Times New Roman" w:eastAsia="SimSun"/>
                <w:b/>
                <w:bCs/>
                <w:color w:val="B03A2E"/>
                <w:sz w:val="18"/>
                <w:szCs w:val="18"/>
              </w:rPr>
              <w:t xml:space="preserve">MISSING</w:t>
            </w:r>
            <w:r>
              <w:rPr>
                <w:rFonts w:ascii="Times New Roman" w:eastAsia="SimSun"/>
                <w:b w:val="false"/>
                <w:bCs w:val="false"/>
                <w:color w:val="1A2B40"/>
                <w:sz w:val="18"/>
                <w:szCs w:val="18"/>
              </w:rPr>
              <w:t xml:space="preserve"/>
            </w:r>
          </w:p>
        </w:tc>
      </w:tr>
      <w:tr>
        <w:trPr>
          <w:cantSplit/>
        </w:trPr>
        <w:tc>
          <w:tcPr>
            <w:tcW w:type="pct" w:w="16%"/>
            <w:tcMar>
              <w:top w:type="dxa" w:w="80"/>
              <w:left w:type="dxa" w:w="110"/>
              <w:bottom w:type="dxa" w:w="80"/>
              <w:right w:type="dxa" w:w="110"/>
            </w:tcMar>
          </w:tcPr>
          <w:p>
            <w:pPr>
              <w:spacing w:line="276"/>
            </w:pPr>
            <w:r>
              <w:rPr>
                <w:rFonts w:ascii="Times New Roman" w:eastAsia="SimSun"/>
                <w:b/>
                <w:bCs/>
                <w:color w:val="0A1628"/>
                <w:sz w:val="18"/>
                <w:szCs w:val="18"/>
              </w:rPr>
              <w:t xml:space="preserve">Output form</w:t>
            </w:r>
          </w:p>
        </w:tc>
        <w:tc>
          <w:tcPr>
            <w:tcW w:type="pct" w:w="30%"/>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Chat report with comparison table</w:t>
            </w:r>
          </w:p>
        </w:tc>
        <w:tc>
          <w:tcPr>
            <w:tcW w:type="pct" w:w="32%"/>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Step 5 writes a final-answer file</w:t>
            </w:r>
          </w:p>
        </w:tc>
        <w:tc>
          <w:tcPr>
            <w:tcW w:type="pct" w:w="22%"/>
            <w:tcMar>
              <w:top w:type="dxa" w:w="80"/>
              <w:left w:type="dxa" w:w="110"/>
              <w:bottom w:type="dxa" w:w="80"/>
              <w:right w:type="dxa" w:w="110"/>
            </w:tcMar>
          </w:tcPr>
          <w:p>
            <w:pPr>
              <w:spacing w:line="276"/>
            </w:pPr>
            <w:r>
              <w:rPr>
                <w:rFonts w:ascii="Times New Roman" w:eastAsia="SimSun"/>
                <w:b/>
                <w:bCs/>
                <w:color w:val="B03A2E"/>
                <w:sz w:val="18"/>
                <w:szCs w:val="18"/>
              </w:rPr>
              <w:t xml:space="preserve">MISSING</w:t>
            </w:r>
            <w:r>
              <w:rPr>
                <w:rFonts w:ascii="Times New Roman" w:eastAsia="SimSun"/>
                <w:b w:val="false"/>
                <w:bCs w:val="false"/>
                <w:color w:val="1A2B40"/>
                <w:sz w:val="18"/>
                <w:szCs w:val="18"/>
              </w:rPr>
              <w:t xml:space="preserve"/>
            </w:r>
          </w:p>
        </w:tc>
      </w:tr>
      <w:tr>
        <w:trPr>
          <w:cantSplit/>
        </w:trPr>
        <w:tc>
          <w:tcPr>
            <w:tcW w:type="pct" w:w="16%"/>
            <w:tcMar>
              <w:top w:type="dxa" w:w="80"/>
              <w:left w:type="dxa" w:w="110"/>
              <w:bottom w:type="dxa" w:w="80"/>
              <w:right w:type="dxa" w:w="110"/>
            </w:tcMar>
          </w:tcPr>
          <w:p>
            <w:pPr>
              <w:spacing w:line="276"/>
            </w:pPr>
            <w:r>
              <w:rPr>
                <w:rFonts w:ascii="Times New Roman" w:eastAsia="SimSun"/>
                <w:b/>
                <w:bCs/>
                <w:color w:val="0A1628"/>
                <w:sz w:val="18"/>
                <w:szCs w:val="18"/>
              </w:rPr>
              <w:t xml:space="preserve">Multi-agent option</w:t>
            </w:r>
          </w:p>
        </w:tc>
        <w:tc>
          <w:tcPr>
            <w:tcW w:type="pct" w:w="30%"/>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None</w:t>
            </w:r>
          </w:p>
        </w:tc>
        <w:tc>
          <w:tcPr>
            <w:tcW w:type="pct" w:w="32%"/>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team skill: parallel background researchers, polled and synthesized</w:t>
            </w:r>
          </w:p>
        </w:tc>
        <w:tc>
          <w:tcPr>
            <w:tcW w:type="pct" w:w="22%"/>
            <w:tcMar>
              <w:top w:type="dxa" w:w="80"/>
              <w:left w:type="dxa" w:w="110"/>
              <w:bottom w:type="dxa" w:w="80"/>
              <w:right w:type="dxa" w:w="110"/>
            </w:tcMar>
          </w:tcPr>
          <w:p>
            <w:pPr>
              <w:spacing w:line="276"/>
            </w:pPr>
            <w:r>
              <w:rPr>
                <w:rFonts w:ascii="Times New Roman" w:eastAsia="SimSun"/>
                <w:b/>
                <w:bCs/>
                <w:color w:val="B03A2E"/>
                <w:sz w:val="18"/>
                <w:szCs w:val="18"/>
              </w:rPr>
              <w:t xml:space="preserve">MISSING</w:t>
            </w:r>
            <w:r>
              <w:rPr>
                <w:rFonts w:ascii="Times New Roman" w:eastAsia="SimSun"/>
                <w:b w:val="false"/>
                <w:bCs w:val="false"/>
                <w:color w:val="1A2B40"/>
                <w:sz w:val="18"/>
                <w:szCs w:val="18"/>
              </w:rPr>
              <w:t xml:space="preserve"> — not expected at this level; noted for the future</w:t>
            </w:r>
          </w:p>
        </w:tc>
      </w:tr>
    </w:tbl>
    <w:p>
      <w:pPr>
        <w:spacing w:after="160" w:line="312"/>
        <w:jc w:val="both"/>
      </w:pPr>
      <w:r>
        <w:rPr>
          <w:rFonts w:ascii="Times New Roman" w:eastAsia="SimSun"/>
          <w:b w:val="false"/>
          <w:bCs w:val="false"/>
          <w:i w:val="false"/>
          <w:iCs w:val="false"/>
          <w:color w:val="1A2B40"/>
          <w:sz w:val="24"/>
          <w:szCs w:val="24"/>
        </w:rPr>
        <w:t xml:space="preserve">The comparison shows a tier that is numerically aligned but structurally divergent. The five-turn budget happens to match the five-step pipeline, but the current turns are spent almost entirely on searching, while the file reserves its five steps for background, direction, planning, verified understanding and a written deliverable — searching is only part of one of the five steps. The deeper correction is conceptual: the file's MiniMax is not a lightweight alternative to deep research; it is deep research in a compact, procedurally locked form. Preserving speed while adopting the five-step discipline is therefore the central recommendation for this tier in Section 7.</w:t>
      </w:r>
    </w:p>
    <w:p>
      <w:pPr>
        <w:pStyle w:val="Heading1"/>
        <w:spacing w:after="200" w:before="420" w:line="312"/>
      </w:pPr>
      <w:bookmarkStart w:id="100007" w:name="_Toc100007"/>
      <w:r>
        <w:rPr>
          <w:rFonts w:ascii="Arial" w:eastAsia="SimHei"/>
          <w:b/>
          <w:bCs/>
          <w:color w:val="0A1628"/>
          <w:sz w:val="32"/>
          <w:szCs w:val="32"/>
        </w:rPr>
        <w:t xml:space="preserve">4. GPT vs GPT — the Ultra Tier</w:t>
      </w:r>
      <w:bookmarkEnd w:id="100007"/>
    </w:p>
    <w:p>
      <w:pPr>
        <w:pStyle w:val="Heading2"/>
        <w:spacing w:after="140" w:before="280" w:line="312"/>
      </w:pPr>
      <w:bookmarkStart w:id="100008" w:name="_Toc100008"/>
      <w:r>
        <w:rPr>
          <w:rFonts w:ascii="Arial" w:eastAsia="SimHei"/>
          <w:b/>
          <w:bCs/>
          <w:color w:val="0A1628"/>
          <w:sz w:val="26"/>
          <w:szCs w:val="26"/>
        </w:rPr>
        <w:t xml:space="preserve">4.1 What the public internet says</w:t>
      </w:r>
      <w:bookmarkEnd w:id="100008"/>
    </w:p>
    <w:p>
      <w:pPr>
        <w:spacing w:after="160" w:line="312"/>
        <w:jc w:val="both"/>
      </w:pPr>
      <w:r>
        <w:rPr>
          <w:rFonts w:ascii="Times New Roman" w:eastAsia="SimSun"/>
          <w:b w:val="false"/>
          <w:bCs w:val="false"/>
          <w:i w:val="false"/>
          <w:iCs w:val="false"/>
          <w:color w:val="1A2B40"/>
          <w:sz w:val="24"/>
          <w:szCs w:val="24"/>
        </w:rPr>
        <w:t xml:space="preserve">OpenAI launched Deep Research on 2 February 2025 as its second agent product after Operator. Public coverage describes an o3-based agent that works autonomously for 5 to 30 minutes on a single question, iteratively browsing, reading and cross-referencing — in the company's own framing, finding, analyzing and synthesizing hundreds of online sources into a comprehensive, citation-backed report. A sidebar logs actions as they happen — searches run, pages opened, code executed — and the user can interrupt mid-run to refine or redirect the investigation. Later updates added file uploads, real-time progress tracking, interactive refinement, and the ability to restrict searches to trusted domains for higher-assurance work.</w:t>
      </w:r>
    </w:p>
    <w:p>
      <w:pPr>
        <w:spacing w:after="160" w:line="312"/>
        <w:jc w:val="both"/>
      </w:pPr>
      <w:r>
        <w:rPr>
          <w:rFonts w:ascii="Times New Roman" w:eastAsia="SimSun"/>
          <w:b w:val="false"/>
          <w:bCs w:val="false"/>
          <w:i w:val="false"/>
          <w:iCs w:val="false"/>
          <w:color w:val="1A2B40"/>
          <w:sz w:val="24"/>
          <w:szCs w:val="24"/>
        </w:rPr>
        <w:t xml:space="preserve">The same coverage is candid about limitations. The agent can hallucinate or misread sources; it occasionally produces citation and formatting errors; it cannot see paywalled content or events after its training cutoff; it may under-communicate uncertainty; and it operates under usage limits because each run is computationally expensive. These limitations matter directly for the comparison, because the uploaded document is at its core a set of countermeasures against exactly this list — its quality-control and validation machinery exists to catch what the agent itself may get wrong.</w:t>
      </w:r>
    </w:p>
    <w:p>
      <w:pPr>
        <w:pStyle w:val="Heading2"/>
        <w:spacing w:after="140" w:before="280" w:line="312"/>
      </w:pPr>
      <w:bookmarkStart w:id="100009" w:name="_Toc100009"/>
      <w:r>
        <w:rPr>
          <w:rFonts w:ascii="Arial" w:eastAsia="SimHei"/>
          <w:b/>
          <w:bCs/>
          <w:color w:val="0A1628"/>
          <w:sz w:val="26"/>
          <w:szCs w:val="26"/>
        </w:rPr>
        <w:t xml:space="preserve">4.2 What deep-research-report.md specifies</w:t>
      </w:r>
      <w:bookmarkEnd w:id="100009"/>
    </w:p>
    <w:p>
      <w:pPr>
        <w:spacing w:after="160" w:line="312"/>
        <w:jc w:val="both"/>
      </w:pPr>
      <w:r>
        <w:rPr>
          <w:rFonts w:ascii="Times New Roman" w:eastAsia="SimSun"/>
          <w:b w:val="false"/>
          <w:bCs w:val="false"/>
          <w:i w:val="false"/>
          <w:iCs w:val="false"/>
          <w:color w:val="1A2B40"/>
          <w:sz w:val="24"/>
          <w:szCs w:val="24"/>
        </w:rPr>
        <w:t xml:space="preserve">The uploaded guide treats deep research as a researcher-operated systematic review rather than a single magic prompt. Its methodology runs in eight steps: define objectives and key questions in a written Research Plan covering background, hypotheses and sub-questions; develop the search strategy — keywords, synonyms, databases, Boolean logic, date and region filters — and record the planned queries; initiate the agent with the question, context and any attached files; retrieve sources iteratively, letting the agent pivot as findings develop, with every visited source logged; evaluate and filter each source on author credentials, publication venue, date and methodology, discarding duplicates and noting conflicts rather than resolving them silently; extract data into a structured sheet with every fact tagged to its source; synthesize a structured report with in-text citations for every claim; and finally review and validate — checking that every citation supports its claim, cross-validating key facts, and iterating on weak points before the report is accepted.</w:t>
      </w:r>
    </w:p>
    <w:p>
      <w:pPr>
        <w:spacing w:after="160" w:line="312"/>
        <w:jc w:val="both"/>
      </w:pPr>
      <w:r>
        <w:rPr>
          <w:rFonts w:ascii="Times New Roman" w:eastAsia="SimSun"/>
          <w:b w:val="false"/>
          <w:bCs w:val="false"/>
          <w:i w:val="false"/>
          <w:iCs w:val="false"/>
          <w:color w:val="1A2B40"/>
          <w:sz w:val="24"/>
          <w:szCs w:val="24"/>
        </w:rPr>
        <w:t xml:space="preserve">Its decision rules import the discipline of evidence-based review. Sources are ranked — primary, peer-reviewed and official material over secondary or user-generated content — and a claim found only in a questionable source must be corroborated or excluded. When credible sources disagree, all perspectives are reported and the stronger methodology is noted, never cherry-picked. Inclusion and exclusion criteria are set early, in the PICOS style of systematic reviews. Scope shifts iteratively when the evidence demands it. Synthesis is conservative: uncertainty is marked explicitly and conclusions are not overstated. Where a formal standard applies, such as PRISMA for review-style work, the protocol is followed and the decision trail is documented.</w:t>
      </w:r>
    </w:p>
    <w:p>
      <w:pPr>
        <w:spacing w:after="160" w:line="312"/>
        <w:jc w:val="both"/>
      </w:pPr>
      <w:r>
        <w:rPr>
          <w:rFonts w:ascii="Times New Roman" w:eastAsia="SimSun"/>
          <w:b w:val="false"/>
          <w:bCs w:val="false"/>
          <w:i w:val="false"/>
          <w:iCs w:val="false"/>
          <w:color w:val="1A2B40"/>
          <w:sz w:val="24"/>
          <w:szCs w:val="24"/>
        </w:rPr>
        <w:t xml:space="preserve">The guide's quality-control and reproducibility apparatus is the most demanding of the three files. Every factual statement is double-checked against its citation; dual independent extraction is recommended, with discrepancies adjudicated by a third pass; consistency is checked across repeated runs; search queries are logged with dates; analysis code is saved with commentary; documents are version-controlled; key sources are archived in case they disappear; and citations are collected as they are encountered rather than reconstructed at the end. The guide also carries an ethics layer — plagiarism hygiene, data privacy, bias awareness, disclosure of AI use, and licensing respect — plus ready-to-use templates for the Research Plan, the Data Extraction Sheet and the Reproducibility Checklist.</w:t>
      </w:r>
    </w:p>
    <w:p>
      <w:pPr>
        <w:pStyle w:val="Heading2"/>
        <w:spacing w:after="140" w:before="280" w:line="312"/>
      </w:pPr>
      <w:bookmarkStart w:id="100010" w:name="_Toc100010"/>
      <w:r>
        <w:rPr>
          <w:rFonts w:ascii="Arial" w:eastAsia="SimHei"/>
          <w:b/>
          <w:bCs/>
          <w:color w:val="0A1628"/>
          <w:sz w:val="26"/>
          <w:szCs w:val="26"/>
        </w:rPr>
        <w:t xml:space="preserve">4.3 What v9.13 currently implements</w:t>
      </w:r>
      <w:bookmarkEnd w:id="100010"/>
    </w:p>
    <w:p>
      <w:pPr>
        <w:spacing w:after="160" w:line="312"/>
        <w:jc w:val="both"/>
      </w:pPr>
      <w:r>
        <w:rPr>
          <w:rFonts w:ascii="Times New Roman" w:eastAsia="SimSun"/>
          <w:b w:val="false"/>
          <w:bCs w:val="false"/>
          <w:i w:val="false"/>
          <w:iCs w:val="false"/>
          <w:color w:val="1A2B40"/>
          <w:sz w:val="24"/>
          <w:szCs w:val="24"/>
        </w:rPr>
        <w:t xml:space="preserve">The Ultra tier today mirrors the product's observable behavior closely. It is plan-first: the engine writes a research plan that renders as a live checklist with step progress, browses long — 20 turns and up to 90 tool runs, the largest budget of the three tiers — chains citations by searching, browsing and reading source pages, cross-checks load-bearing claims through the VERIFY directive, and writes a structured long-form report of 2,500 to 4,000 or more words. A budget-pressure line forces synthesis before resources run out, and the activity trail gives the user real-time visibility comparable to the product sidebar. What it does not have is any of the document's process governance: no persisted research-plan artifact, no recorded search strategy, no source-credibility evaluation, no extraction sheet, no uncertainty marking, no validation pass and no reproducibility log.</w:t>
      </w:r>
    </w:p>
    <w:p>
      <w:pPr>
        <w:pStyle w:val="Heading2"/>
        <w:spacing w:after="140" w:before="280" w:line="312"/>
      </w:pPr>
      <w:bookmarkStart w:id="100011" w:name="_Toc100011"/>
      <w:r>
        <w:rPr>
          <w:rFonts w:ascii="Arial" w:eastAsia="SimHei"/>
          <w:b/>
          <w:bCs/>
          <w:color w:val="0A1628"/>
          <w:sz w:val="26"/>
          <w:szCs w:val="26"/>
        </w:rPr>
        <w:t xml:space="preserve">4.4 Agreement and gap analysis</w:t>
      </w:r>
      <w:bookmarkEnd w:id="100011"/>
    </w:p>
    <w:p>
      <w:pPr>
        <w:spacing w:after="160" w:line="312"/>
        <w:jc w:val="both"/>
      </w:pPr>
      <w:r>
        <w:rPr>
          <w:rFonts w:ascii="Times New Roman" w:eastAsia="SimSun"/>
          <w:b w:val="false"/>
          <w:bCs w:val="false"/>
          <w:i w:val="false"/>
          <w:iCs w:val="false"/>
          <w:color w:val="1A2B40"/>
          <w:sz w:val="24"/>
          <w:szCs w:val="24"/>
        </w:rPr>
        <w:t xml:space="preserve">Table 2 rates the Ultra tier on ten dimensions against the launch coverage and the uploaded methodology guide.</w:t>
      </w:r>
    </w:p>
    <w:p>
      <w:pPr>
        <w:keepNext/>
        <w:spacing w:after="100" w:before="120" w:line="312"/>
      </w:pPr>
      <w:r>
        <w:rPr>
          <w:rFonts w:ascii="Times New Roman" w:eastAsia="SimSun"/>
          <w:b/>
          <w:bCs/>
          <w:color w:val="0A1628"/>
          <w:sz w:val="21"/>
          <w:szCs w:val="21"/>
        </w:rPr>
        <w:t xml:space="preserve">Table 2 — GPT engine: internet basis vs uploaded specification vs current implementation</w:t>
      </w:r>
    </w:p>
    <w:tbl>
      <w:tblPr>
        <w:tblW w:type="pct" w:w="100%"/>
        <w:tblBorders>
          <w:top w:val="single" w:color="5B8DB8" w:sz="6"/>
          <w:left w:val="none" w:color="auto" w:sz="0"/>
          <w:bottom w:val="single" w:color="5B8DB8" w:sz="6"/>
          <w:right w:val="none" w:color="auto" w:sz="0"/>
          <w:insideH w:val="single" w:color="D9E2EC" w:sz="2"/>
          <w:insideV w:val="single" w:color="E4EBF2" w:sz="2"/>
        </w:tblBorders>
      </w:tblPr>
      <w:tblGrid>
        <w:gridCol w:w="100"/>
        <w:gridCol w:w="100"/>
        <w:gridCol w:w="100"/>
        <w:gridCol w:w="100"/>
      </w:tblGrid>
      <w:tr>
        <w:trPr>
          <w:cantSplit/>
          <w:tblHeader/>
        </w:trPr>
        <w:tc>
          <w:tcPr>
            <w:tcW w:type="pct" w:w="16%"/>
            <w:shd w:fill="E9F1F8" w:val="clear"/>
            <w:tcMar>
              <w:top w:type="dxa" w:w="80"/>
              <w:left w:type="dxa" w:w="110"/>
              <w:bottom w:type="dxa" w:w="80"/>
              <w:right w:type="dxa" w:w="110"/>
            </w:tcMar>
          </w:tcPr>
          <w:p>
            <w:pPr>
              <w:spacing w:line="276"/>
            </w:pPr>
            <w:r>
              <w:rPr>
                <w:rFonts w:ascii="Times New Roman" w:eastAsia="SimSun"/>
                <w:b/>
                <w:bCs/>
                <w:color w:val="0A1628"/>
                <w:sz w:val="18"/>
                <w:szCs w:val="18"/>
              </w:rPr>
              <w:t xml:space="preserve">Dimension</w:t>
            </w:r>
          </w:p>
        </w:tc>
        <w:tc>
          <w:tcPr>
            <w:tcW w:type="pct" w:w="30%"/>
            <w:shd w:fill="E9F1F8" w:val="clear"/>
            <w:tcMar>
              <w:top w:type="dxa" w:w="80"/>
              <w:left w:type="dxa" w:w="110"/>
              <w:bottom w:type="dxa" w:w="80"/>
              <w:right w:type="dxa" w:w="110"/>
            </w:tcMar>
          </w:tcPr>
          <w:p>
            <w:pPr>
              <w:spacing w:line="276"/>
            </w:pPr>
            <w:r>
              <w:rPr>
                <w:rFonts w:ascii="Times New Roman" w:eastAsia="SimSun"/>
                <w:b/>
                <w:bCs/>
                <w:color w:val="0A1628"/>
                <w:sz w:val="18"/>
                <w:szCs w:val="18"/>
              </w:rPr>
              <w:t xml:space="preserve">Internet knowledge (v9.13 basis)</w:t>
            </w:r>
          </w:p>
        </w:tc>
        <w:tc>
          <w:tcPr>
            <w:tcW w:type="pct" w:w="32%"/>
            <w:shd w:fill="E9F1F8" w:val="clear"/>
            <w:tcMar>
              <w:top w:type="dxa" w:w="80"/>
              <w:left w:type="dxa" w:w="110"/>
              <w:bottom w:type="dxa" w:w="80"/>
              <w:right w:type="dxa" w:w="110"/>
            </w:tcMar>
          </w:tcPr>
          <w:p>
            <w:pPr>
              <w:spacing w:line="276"/>
            </w:pPr>
            <w:r>
              <w:rPr>
                <w:rFonts w:ascii="Times New Roman" w:eastAsia="SimSun"/>
                <w:b/>
                <w:bCs/>
                <w:color w:val="0A1628"/>
                <w:sz w:val="18"/>
                <w:szCs w:val="18"/>
              </w:rPr>
              <w:t xml:space="preserve">Your uploaded file specifies</w:t>
            </w:r>
          </w:p>
        </w:tc>
        <w:tc>
          <w:tcPr>
            <w:tcW w:type="pct" w:w="22%"/>
            <w:shd w:fill="E9F1F8" w:val="clear"/>
            <w:tcMar>
              <w:top w:type="dxa" w:w="80"/>
              <w:left w:type="dxa" w:w="110"/>
              <w:bottom w:type="dxa" w:w="80"/>
              <w:right w:type="dxa" w:w="110"/>
            </w:tcMar>
          </w:tcPr>
          <w:p>
            <w:pPr>
              <w:spacing w:line="276"/>
            </w:pPr>
            <w:r>
              <w:rPr>
                <w:rFonts w:ascii="Times New Roman" w:eastAsia="SimSun"/>
                <w:b/>
                <w:bCs/>
                <w:color w:val="0A1628"/>
                <w:sz w:val="18"/>
                <w:szCs w:val="18"/>
              </w:rPr>
              <w:t xml:space="preserve">v9.13 status</w:t>
            </w:r>
          </w:p>
        </w:tc>
      </w:tr>
      <w:tr>
        <w:trPr>
          <w:cantSplit/>
        </w:trPr>
        <w:tc>
          <w:tcPr>
            <w:tcW w:type="pct" w:w="16%"/>
            <w:tcMar>
              <w:top w:type="dxa" w:w="80"/>
              <w:left w:type="dxa" w:w="110"/>
              <w:bottom w:type="dxa" w:w="80"/>
              <w:right w:type="dxa" w:w="110"/>
            </w:tcMar>
          </w:tcPr>
          <w:p>
            <w:pPr>
              <w:spacing w:line="276"/>
            </w:pPr>
            <w:r>
              <w:rPr>
                <w:rFonts w:ascii="Times New Roman" w:eastAsia="SimSun"/>
                <w:b/>
                <w:bCs/>
                <w:color w:val="0A1628"/>
                <w:sz w:val="18"/>
                <w:szCs w:val="18"/>
              </w:rPr>
              <w:t xml:space="preserve">Run scale</w:t>
            </w:r>
          </w:p>
        </w:tc>
        <w:tc>
          <w:tcPr>
            <w:tcW w:type="pct" w:w="30%"/>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5 to 30 minutes per report, hundreds of sources</w:t>
            </w:r>
          </w:p>
        </w:tc>
        <w:tc>
          <w:tcPr>
            <w:tcW w:type="pct" w:w="32%"/>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Methodology assumes extensive multi-source browsing</w:t>
            </w:r>
          </w:p>
        </w:tc>
        <w:tc>
          <w:tcPr>
            <w:tcW w:type="pct" w:w="22%"/>
            <w:tcMar>
              <w:top w:type="dxa" w:w="80"/>
              <w:left w:type="dxa" w:w="110"/>
              <w:bottom w:type="dxa" w:w="80"/>
              <w:right w:type="dxa" w:w="110"/>
            </w:tcMar>
          </w:tcPr>
          <w:p>
            <w:pPr>
              <w:spacing w:line="276"/>
            </w:pPr>
            <w:r>
              <w:rPr>
                <w:rFonts w:ascii="Times New Roman" w:eastAsia="SimSun"/>
                <w:b/>
                <w:bCs/>
                <w:color w:val="2E7D32"/>
                <w:sz w:val="18"/>
                <w:szCs w:val="18"/>
              </w:rPr>
              <w:t xml:space="preserve">ALIGNED</w:t>
            </w:r>
            <w:r>
              <w:rPr>
                <w:rFonts w:ascii="Times New Roman" w:eastAsia="SimSun"/>
                <w:b w:val="false"/>
                <w:bCs w:val="false"/>
                <w:color w:val="1A2B40"/>
                <w:sz w:val="18"/>
                <w:szCs w:val="18"/>
              </w:rPr>
              <w:t xml:space="preserve"> — 20 turns, 90 tool runs, long-form report</w:t>
            </w:r>
          </w:p>
        </w:tc>
      </w:tr>
      <w:tr>
        <w:trPr>
          <w:cantSplit/>
        </w:trPr>
        <w:tc>
          <w:tcPr>
            <w:tcW w:type="pct" w:w="16%"/>
            <w:tcMar>
              <w:top w:type="dxa" w:w="80"/>
              <w:left w:type="dxa" w:w="110"/>
              <w:bottom w:type="dxa" w:w="80"/>
              <w:right w:type="dxa" w:w="110"/>
            </w:tcMar>
          </w:tcPr>
          <w:p>
            <w:pPr>
              <w:spacing w:line="276"/>
            </w:pPr>
            <w:r>
              <w:rPr>
                <w:rFonts w:ascii="Times New Roman" w:eastAsia="SimSun"/>
                <w:b/>
                <w:bCs/>
                <w:color w:val="0A1628"/>
                <w:sz w:val="18"/>
                <w:szCs w:val="18"/>
              </w:rPr>
              <w:t xml:space="preserve">Plan artifact</w:t>
            </w:r>
          </w:p>
        </w:tc>
        <w:tc>
          <w:tcPr>
            <w:tcW w:type="pct" w:w="30%"/>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Live plan visible in the sidebar</w:t>
            </w:r>
          </w:p>
        </w:tc>
        <w:tc>
          <w:tcPr>
            <w:tcW w:type="pct" w:w="32%"/>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Formal Research Plan: question, background, objectives, definitions, criteria</w:t>
            </w:r>
          </w:p>
        </w:tc>
        <w:tc>
          <w:tcPr>
            <w:tcW w:type="pct" w:w="22%"/>
            <w:tcMar>
              <w:top w:type="dxa" w:w="80"/>
              <w:left w:type="dxa" w:w="110"/>
              <w:bottom w:type="dxa" w:w="80"/>
              <w:right w:type="dxa" w:w="110"/>
            </w:tcMar>
          </w:tcPr>
          <w:p>
            <w:pPr>
              <w:spacing w:line="276"/>
            </w:pPr>
            <w:r>
              <w:rPr>
                <w:rFonts w:ascii="Times New Roman" w:eastAsia="SimSun"/>
                <w:b/>
                <w:bCs/>
                <w:color w:val="9C6B10"/>
                <w:sz w:val="18"/>
                <w:szCs w:val="18"/>
              </w:rPr>
              <w:t xml:space="preserve">PARTIAL</w:t>
            </w:r>
            <w:r>
              <w:rPr>
                <w:rFonts w:ascii="Times New Roman" w:eastAsia="SimSun"/>
                <w:b w:val="false"/>
                <w:bCs w:val="false"/>
                <w:color w:val="1A2B40"/>
                <w:sz w:val="18"/>
                <w:szCs w:val="18"/>
              </w:rPr>
              <w:t xml:space="preserve"> — live checklist only, no persisted plan document</w:t>
            </w:r>
          </w:p>
        </w:tc>
      </w:tr>
      <w:tr>
        <w:trPr>
          <w:cantSplit/>
        </w:trPr>
        <w:tc>
          <w:tcPr>
            <w:tcW w:type="pct" w:w="16%"/>
            <w:tcMar>
              <w:top w:type="dxa" w:w="80"/>
              <w:left w:type="dxa" w:w="110"/>
              <w:bottom w:type="dxa" w:w="80"/>
              <w:right w:type="dxa" w:w="110"/>
            </w:tcMar>
          </w:tcPr>
          <w:p>
            <w:pPr>
              <w:spacing w:line="276"/>
            </w:pPr>
            <w:r>
              <w:rPr>
                <w:rFonts w:ascii="Times New Roman" w:eastAsia="SimSun"/>
                <w:b/>
                <w:bCs/>
                <w:color w:val="0A1628"/>
                <w:sz w:val="18"/>
                <w:szCs w:val="18"/>
              </w:rPr>
              <w:t xml:space="preserve">Search strategy</w:t>
            </w:r>
          </w:p>
        </w:tc>
        <w:tc>
          <w:tcPr>
            <w:tcW w:type="pct" w:w="30%"/>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Agent improvises queries and pivots as needed</w:t>
            </w:r>
          </w:p>
        </w:tc>
        <w:tc>
          <w:tcPr>
            <w:tcW w:type="pct" w:w="32%"/>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Pre-planned keywords, databases, Boolean logic, filters, recorded queries</w:t>
            </w:r>
          </w:p>
        </w:tc>
        <w:tc>
          <w:tcPr>
            <w:tcW w:type="pct" w:w="22%"/>
            <w:tcMar>
              <w:top w:type="dxa" w:w="80"/>
              <w:left w:type="dxa" w:w="110"/>
              <w:bottom w:type="dxa" w:w="80"/>
              <w:right w:type="dxa" w:w="110"/>
            </w:tcMar>
          </w:tcPr>
          <w:p>
            <w:pPr>
              <w:spacing w:line="276"/>
            </w:pPr>
            <w:r>
              <w:rPr>
                <w:rFonts w:ascii="Times New Roman" w:eastAsia="SimSun"/>
                <w:b/>
                <w:bCs/>
                <w:color w:val="9C6B10"/>
                <w:sz w:val="18"/>
                <w:szCs w:val="18"/>
              </w:rPr>
              <w:t xml:space="preserve">PARTIAL</w:t>
            </w:r>
            <w:r>
              <w:rPr>
                <w:rFonts w:ascii="Times New Roman" w:eastAsia="SimSun"/>
                <w:b w:val="false"/>
                <w:bCs w:val="false"/>
                <w:color w:val="1A2B40"/>
                <w:sz w:val="18"/>
                <w:szCs w:val="18"/>
              </w:rPr>
              <w:t xml:space="preserve"> — queries generated on the fly, not pre-planned</w:t>
            </w:r>
          </w:p>
        </w:tc>
      </w:tr>
      <w:tr>
        <w:trPr>
          <w:cantSplit/>
        </w:trPr>
        <w:tc>
          <w:tcPr>
            <w:tcW w:type="pct" w:w="16%"/>
            <w:tcMar>
              <w:top w:type="dxa" w:w="80"/>
              <w:left w:type="dxa" w:w="110"/>
              <w:bottom w:type="dxa" w:w="80"/>
              <w:right w:type="dxa" w:w="110"/>
            </w:tcMar>
          </w:tcPr>
          <w:p>
            <w:pPr>
              <w:spacing w:line="276"/>
            </w:pPr>
            <w:r>
              <w:rPr>
                <w:rFonts w:ascii="Times New Roman" w:eastAsia="SimSun"/>
                <w:b/>
                <w:bCs/>
                <w:color w:val="0A1628"/>
                <w:sz w:val="18"/>
                <w:szCs w:val="18"/>
              </w:rPr>
              <w:t xml:space="preserve">Source evaluation</w:t>
            </w:r>
          </w:p>
        </w:tc>
        <w:tc>
          <w:tcPr>
            <w:tcW w:type="pct" w:w="30%"/>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Coverage breadth emphasized</w:t>
            </w:r>
          </w:p>
        </w:tc>
        <w:tc>
          <w:tcPr>
            <w:tcW w:type="pct" w:w="32%"/>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Credibility checklist; conflicts reported, never cherry-picked</w:t>
            </w:r>
          </w:p>
        </w:tc>
        <w:tc>
          <w:tcPr>
            <w:tcW w:type="pct" w:w="22%"/>
            <w:tcMar>
              <w:top w:type="dxa" w:w="80"/>
              <w:left w:type="dxa" w:w="110"/>
              <w:bottom w:type="dxa" w:w="80"/>
              <w:right w:type="dxa" w:w="110"/>
            </w:tcMar>
          </w:tcPr>
          <w:p>
            <w:pPr>
              <w:spacing w:line="276"/>
            </w:pPr>
            <w:r>
              <w:rPr>
                <w:rFonts w:ascii="Times New Roman" w:eastAsia="SimSun"/>
                <w:b/>
                <w:bCs/>
                <w:color w:val="B03A2E"/>
                <w:sz w:val="18"/>
                <w:szCs w:val="18"/>
              </w:rPr>
              <w:t xml:space="preserve">MISSING</w:t>
            </w:r>
            <w:r>
              <w:rPr>
                <w:rFonts w:ascii="Times New Roman" w:eastAsia="SimSun"/>
                <w:b w:val="false"/>
                <w:bCs w:val="false"/>
                <w:color w:val="1A2B40"/>
                <w:sz w:val="18"/>
                <w:szCs w:val="18"/>
              </w:rPr>
              <w:t xml:space="preserve"/>
            </w:r>
          </w:p>
        </w:tc>
      </w:tr>
      <w:tr>
        <w:trPr>
          <w:cantSplit/>
        </w:trPr>
        <w:tc>
          <w:tcPr>
            <w:tcW w:type="pct" w:w="16%"/>
            <w:tcMar>
              <w:top w:type="dxa" w:w="80"/>
              <w:left w:type="dxa" w:w="110"/>
              <w:bottom w:type="dxa" w:w="80"/>
              <w:right w:type="dxa" w:w="110"/>
            </w:tcMar>
          </w:tcPr>
          <w:p>
            <w:pPr>
              <w:spacing w:line="276"/>
            </w:pPr>
            <w:r>
              <w:rPr>
                <w:rFonts w:ascii="Times New Roman" w:eastAsia="SimSun"/>
                <w:b/>
                <w:bCs/>
                <w:color w:val="0A1628"/>
                <w:sz w:val="18"/>
                <w:szCs w:val="18"/>
              </w:rPr>
              <w:t xml:space="preserve">Data extraction</w:t>
            </w:r>
          </w:p>
        </w:tc>
        <w:tc>
          <w:tcPr>
            <w:tcW w:type="pct" w:w="30%"/>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Reads and synthesizes directly</w:t>
            </w:r>
          </w:p>
        </w:tc>
        <w:tc>
          <w:tcPr>
            <w:tcW w:type="pct" w:w="32%"/>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Data Extraction Sheet per source, every fact tagged</w:t>
            </w:r>
          </w:p>
        </w:tc>
        <w:tc>
          <w:tcPr>
            <w:tcW w:type="pct" w:w="22%"/>
            <w:tcMar>
              <w:top w:type="dxa" w:w="80"/>
              <w:left w:type="dxa" w:w="110"/>
              <w:bottom w:type="dxa" w:w="80"/>
              <w:right w:type="dxa" w:w="110"/>
            </w:tcMar>
          </w:tcPr>
          <w:p>
            <w:pPr>
              <w:spacing w:line="276"/>
            </w:pPr>
            <w:r>
              <w:rPr>
                <w:rFonts w:ascii="Times New Roman" w:eastAsia="SimSun"/>
                <w:b/>
                <w:bCs/>
                <w:color w:val="B03A2E"/>
                <w:sz w:val="18"/>
                <w:szCs w:val="18"/>
              </w:rPr>
              <w:t xml:space="preserve">MISSING</w:t>
            </w:r>
            <w:r>
              <w:rPr>
                <w:rFonts w:ascii="Times New Roman" w:eastAsia="SimSun"/>
                <w:b w:val="false"/>
                <w:bCs w:val="false"/>
                <w:color w:val="1A2B40"/>
                <w:sz w:val="18"/>
                <w:szCs w:val="18"/>
              </w:rPr>
              <w:t xml:space="preserve"/>
            </w:r>
          </w:p>
        </w:tc>
      </w:tr>
      <w:tr>
        <w:trPr>
          <w:cantSplit/>
        </w:trPr>
        <w:tc>
          <w:tcPr>
            <w:tcW w:type="pct" w:w="16%"/>
            <w:tcMar>
              <w:top w:type="dxa" w:w="80"/>
              <w:left w:type="dxa" w:w="110"/>
              <w:bottom w:type="dxa" w:w="80"/>
              <w:right w:type="dxa" w:w="110"/>
            </w:tcMar>
          </w:tcPr>
          <w:p>
            <w:pPr>
              <w:spacing w:line="276"/>
            </w:pPr>
            <w:r>
              <w:rPr>
                <w:rFonts w:ascii="Times New Roman" w:eastAsia="SimSun"/>
                <w:b/>
                <w:bCs/>
                <w:color w:val="0A1628"/>
                <w:sz w:val="18"/>
                <w:szCs w:val="18"/>
              </w:rPr>
              <w:t xml:space="preserve">Quantitative analysis</w:t>
            </w:r>
          </w:p>
        </w:tc>
        <w:tc>
          <w:tcPr>
            <w:tcW w:type="pct" w:w="30%"/>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Python tool available to the agent</w:t>
            </w:r>
          </w:p>
        </w:tc>
        <w:tc>
          <w:tcPr>
            <w:tcW w:type="pct" w:w="32%"/>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Python for statistics, charts and verification</w:t>
            </w:r>
          </w:p>
        </w:tc>
        <w:tc>
          <w:tcPr>
            <w:tcW w:type="pct" w:w="22%"/>
            <w:tcMar>
              <w:top w:type="dxa" w:w="80"/>
              <w:left w:type="dxa" w:w="110"/>
              <w:bottom w:type="dxa" w:w="80"/>
              <w:right w:type="dxa" w:w="110"/>
            </w:tcMar>
          </w:tcPr>
          <w:p>
            <w:pPr>
              <w:spacing w:line="276"/>
            </w:pPr>
            <w:r>
              <w:rPr>
                <w:rFonts w:ascii="Times New Roman" w:eastAsia="SimSun"/>
                <w:b/>
                <w:bCs/>
                <w:color w:val="9C6B10"/>
                <w:sz w:val="18"/>
                <w:szCs w:val="18"/>
              </w:rPr>
              <w:t xml:space="preserve">PARTIAL</w:t>
            </w:r>
            <w:r>
              <w:rPr>
                <w:rFonts w:ascii="Times New Roman" w:eastAsia="SimSun"/>
                <w:b w:val="false"/>
                <w:bCs w:val="false"/>
                <w:color w:val="1A2B40"/>
                <w:sz w:val="18"/>
                <w:szCs w:val="18"/>
              </w:rPr>
              <w:t xml:space="preserve"> — CALC tool exists outside the research loop</w:t>
            </w:r>
          </w:p>
        </w:tc>
      </w:tr>
      <w:tr>
        <w:trPr>
          <w:cantSplit/>
        </w:trPr>
        <w:tc>
          <w:tcPr>
            <w:tcW w:type="pct" w:w="16%"/>
            <w:tcMar>
              <w:top w:type="dxa" w:w="80"/>
              <w:left w:type="dxa" w:w="110"/>
              <w:bottom w:type="dxa" w:w="80"/>
              <w:right w:type="dxa" w:w="110"/>
            </w:tcMar>
          </w:tcPr>
          <w:p>
            <w:pPr>
              <w:spacing w:line="276"/>
            </w:pPr>
            <w:r>
              <w:rPr>
                <w:rFonts w:ascii="Times New Roman" w:eastAsia="SimSun"/>
                <w:b/>
                <w:bCs/>
                <w:color w:val="0A1628"/>
                <w:sz w:val="18"/>
                <w:szCs w:val="18"/>
              </w:rPr>
              <w:t xml:space="preserve">Synthesis discipline</w:t>
            </w:r>
          </w:p>
        </w:tc>
        <w:tc>
          <w:tcPr>
            <w:tcW w:type="pct" w:w="30%"/>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Comprehensive cited report</w:t>
            </w:r>
          </w:p>
        </w:tc>
        <w:tc>
          <w:tcPr>
            <w:tcW w:type="pct" w:w="32%"/>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Conservative synthesis, uncertainty marked, reasoning summary</w:t>
            </w:r>
          </w:p>
        </w:tc>
        <w:tc>
          <w:tcPr>
            <w:tcW w:type="pct" w:w="22%"/>
            <w:tcMar>
              <w:top w:type="dxa" w:w="80"/>
              <w:left w:type="dxa" w:w="110"/>
              <w:bottom w:type="dxa" w:w="80"/>
              <w:right w:type="dxa" w:w="110"/>
            </w:tcMar>
          </w:tcPr>
          <w:p>
            <w:pPr>
              <w:spacing w:line="276"/>
            </w:pPr>
            <w:r>
              <w:rPr>
                <w:rFonts w:ascii="Times New Roman" w:eastAsia="SimSun"/>
                <w:b/>
                <w:bCs/>
                <w:color w:val="9C6B10"/>
                <w:sz w:val="18"/>
                <w:szCs w:val="18"/>
              </w:rPr>
              <w:t xml:space="preserve">PARTIAL</w:t>
            </w:r>
            <w:r>
              <w:rPr>
                <w:rFonts w:ascii="Times New Roman" w:eastAsia="SimSun"/>
                <w:b w:val="false"/>
                <w:bCs w:val="false"/>
                <w:color w:val="1A2B40"/>
                <w:sz w:val="18"/>
                <w:szCs w:val="18"/>
              </w:rPr>
              <w:t xml:space="preserve"> — no uncertainty flags</w:t>
            </w:r>
          </w:p>
        </w:tc>
      </w:tr>
      <w:tr>
        <w:trPr>
          <w:cantSplit/>
        </w:trPr>
        <w:tc>
          <w:tcPr>
            <w:tcW w:type="pct" w:w="16%"/>
            <w:tcMar>
              <w:top w:type="dxa" w:w="80"/>
              <w:left w:type="dxa" w:w="110"/>
              <w:bottom w:type="dxa" w:w="80"/>
              <w:right w:type="dxa" w:w="110"/>
            </w:tcMar>
          </w:tcPr>
          <w:p>
            <w:pPr>
              <w:spacing w:line="276"/>
            </w:pPr>
            <w:r>
              <w:rPr>
                <w:rFonts w:ascii="Times New Roman" w:eastAsia="SimSun"/>
                <w:b/>
                <w:bCs/>
                <w:color w:val="0A1628"/>
                <w:sz w:val="18"/>
                <w:szCs w:val="18"/>
              </w:rPr>
              <w:t xml:space="preserve">Validation pass</w:t>
            </w:r>
          </w:p>
        </w:tc>
        <w:tc>
          <w:tcPr>
            <w:tcW w:type="pct" w:w="30%"/>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User reviews after delivery</w:t>
            </w:r>
          </w:p>
        </w:tc>
        <w:tc>
          <w:tcPr>
            <w:tcW w:type="pct" w:w="32%"/>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Citation spot-checks, cross-validation, dual review</w:t>
            </w:r>
          </w:p>
        </w:tc>
        <w:tc>
          <w:tcPr>
            <w:tcW w:type="pct" w:w="22%"/>
            <w:tcMar>
              <w:top w:type="dxa" w:w="80"/>
              <w:left w:type="dxa" w:w="110"/>
              <w:bottom w:type="dxa" w:w="80"/>
              <w:right w:type="dxa" w:w="110"/>
            </w:tcMar>
          </w:tcPr>
          <w:p>
            <w:pPr>
              <w:spacing w:line="276"/>
            </w:pPr>
            <w:r>
              <w:rPr>
                <w:rFonts w:ascii="Times New Roman" w:eastAsia="SimSun"/>
                <w:b/>
                <w:bCs/>
                <w:color w:val="B03A2E"/>
                <w:sz w:val="18"/>
                <w:szCs w:val="18"/>
              </w:rPr>
              <w:t xml:space="preserve">MISSING</w:t>
            </w:r>
            <w:r>
              <w:rPr>
                <w:rFonts w:ascii="Times New Roman" w:eastAsia="SimSun"/>
                <w:b w:val="false"/>
                <w:bCs w:val="false"/>
                <w:color w:val="1A2B40"/>
                <w:sz w:val="18"/>
                <w:szCs w:val="18"/>
              </w:rPr>
              <w:t xml:space="preserve"/>
            </w:r>
          </w:p>
        </w:tc>
      </w:tr>
      <w:tr>
        <w:trPr>
          <w:cantSplit/>
        </w:trPr>
        <w:tc>
          <w:tcPr>
            <w:tcW w:type="pct" w:w="16%"/>
            <w:tcMar>
              <w:top w:type="dxa" w:w="80"/>
              <w:left w:type="dxa" w:w="110"/>
              <w:bottom w:type="dxa" w:w="80"/>
              <w:right w:type="dxa" w:w="110"/>
            </w:tcMar>
          </w:tcPr>
          <w:p>
            <w:pPr>
              <w:spacing w:line="276"/>
            </w:pPr>
            <w:r>
              <w:rPr>
                <w:rFonts w:ascii="Times New Roman" w:eastAsia="SimSun"/>
                <w:b/>
                <w:bCs/>
                <w:color w:val="0A1628"/>
                <w:sz w:val="18"/>
                <w:szCs w:val="18"/>
              </w:rPr>
              <w:t xml:space="preserve">Reproducibility</w:t>
            </w:r>
          </w:p>
        </w:tc>
        <w:tc>
          <w:tcPr>
            <w:tcW w:type="pct" w:w="30%"/>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Sidebar action log</w:t>
            </w:r>
          </w:p>
        </w:tc>
        <w:tc>
          <w:tcPr>
            <w:tcW w:type="pct" w:w="32%"/>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Query log with dates, archived sources, version control</w:t>
            </w:r>
          </w:p>
        </w:tc>
        <w:tc>
          <w:tcPr>
            <w:tcW w:type="pct" w:w="22%"/>
            <w:tcMar>
              <w:top w:type="dxa" w:w="80"/>
              <w:left w:type="dxa" w:w="110"/>
              <w:bottom w:type="dxa" w:w="80"/>
              <w:right w:type="dxa" w:w="110"/>
            </w:tcMar>
          </w:tcPr>
          <w:p>
            <w:pPr>
              <w:spacing w:line="276"/>
            </w:pPr>
            <w:r>
              <w:rPr>
                <w:rFonts w:ascii="Times New Roman" w:eastAsia="SimSun"/>
                <w:b/>
                <w:bCs/>
                <w:color w:val="9C6B10"/>
                <w:sz w:val="18"/>
                <w:szCs w:val="18"/>
              </w:rPr>
              <w:t xml:space="preserve">PARTIAL</w:t>
            </w:r>
            <w:r>
              <w:rPr>
                <w:rFonts w:ascii="Times New Roman" w:eastAsia="SimSun"/>
                <w:b w:val="false"/>
                <w:bCs w:val="false"/>
                <w:color w:val="1A2B40"/>
                <w:sz w:val="18"/>
                <w:szCs w:val="18"/>
              </w:rPr>
              <w:t xml:space="preserve"> — sources panel logs URLs only</w:t>
            </w:r>
          </w:p>
        </w:tc>
      </w:tr>
      <w:tr>
        <w:trPr>
          <w:cantSplit/>
        </w:trPr>
        <w:tc>
          <w:tcPr>
            <w:tcW w:type="pct" w:w="16%"/>
            <w:tcMar>
              <w:top w:type="dxa" w:w="80"/>
              <w:left w:type="dxa" w:w="110"/>
              <w:bottom w:type="dxa" w:w="80"/>
              <w:right w:type="dxa" w:w="110"/>
            </w:tcMar>
          </w:tcPr>
          <w:p>
            <w:pPr>
              <w:spacing w:line="276"/>
            </w:pPr>
            <w:r>
              <w:rPr>
                <w:rFonts w:ascii="Times New Roman" w:eastAsia="SimSun"/>
                <w:b/>
                <w:bCs/>
                <w:color w:val="0A1628"/>
                <w:sz w:val="18"/>
                <w:szCs w:val="18"/>
              </w:rPr>
              <w:t xml:space="preserve">Ethics and safety</w:t>
            </w:r>
          </w:p>
        </w:tc>
        <w:tc>
          <w:tcPr>
            <w:tcW w:type="pct" w:w="30%"/>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Usage policies and limits</w:t>
            </w:r>
          </w:p>
        </w:tc>
        <w:tc>
          <w:tcPr>
            <w:tcW w:type="pct" w:w="32%"/>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Plagiarism, privacy, bias, AI disclosure, high-stakes disclaimers</w:t>
            </w:r>
          </w:p>
        </w:tc>
        <w:tc>
          <w:tcPr>
            <w:tcW w:type="pct" w:w="22%"/>
            <w:tcMar>
              <w:top w:type="dxa" w:w="80"/>
              <w:left w:type="dxa" w:w="110"/>
              <w:bottom w:type="dxa" w:w="80"/>
              <w:right w:type="dxa" w:w="110"/>
            </w:tcMar>
          </w:tcPr>
          <w:p>
            <w:pPr>
              <w:spacing w:line="276"/>
            </w:pPr>
            <w:r>
              <w:rPr>
                <w:rFonts w:ascii="Times New Roman" w:eastAsia="SimSun"/>
                <w:b/>
                <w:bCs/>
                <w:color w:val="B03A2E"/>
                <w:sz w:val="18"/>
                <w:szCs w:val="18"/>
              </w:rPr>
              <w:t xml:space="preserve">MISSING</w:t>
            </w:r>
            <w:r>
              <w:rPr>
                <w:rFonts w:ascii="Times New Roman" w:eastAsia="SimSun"/>
                <w:b w:val="false"/>
                <w:bCs w:val="false"/>
                <w:color w:val="1A2B40"/>
                <w:sz w:val="18"/>
                <w:szCs w:val="18"/>
              </w:rPr>
              <w:t xml:space="preserve"/>
            </w:r>
          </w:p>
        </w:tc>
      </w:tr>
    </w:tbl>
    <w:p>
      <w:pPr>
        <w:spacing w:after="160" w:line="312"/>
        <w:jc w:val="both"/>
      </w:pPr>
      <w:r>
        <w:rPr>
          <w:rFonts w:ascii="Times New Roman" w:eastAsia="SimSun"/>
          <w:b w:val="false"/>
          <w:bCs w:val="false"/>
          <w:i w:val="false"/>
          <w:iCs w:val="false"/>
          <w:color w:val="1A2B40"/>
          <w:sz w:val="24"/>
          <w:szCs w:val="24"/>
        </w:rPr>
        <w:t xml:space="preserve">The pattern is consistent: v9.13 reproduces what Deep Research looks like from the outside — the plan, the long autonomous run, the citations, the transparency — while the uploaded document specifies what should govern it from the inside. The gaps are almost entirely audit-grade mechanisms: they make the research defensible after the fact, not merely impressive during the run. Notably, most of them are inexpensive to implement because the raw material already exists. The plan is already written; queries and sources are already logged in the sources panel; and the VERIFY directive already performs spot-checks. What is missing is the discipline of persisting, structuring and surfacing those artifacts as part of the deliverable.</w:t>
      </w:r>
    </w:p>
    <w:p>
      <w:pPr>
        <w:pStyle w:val="Heading1"/>
        <w:spacing w:after="200" w:before="420" w:line="312"/>
      </w:pPr>
      <w:bookmarkStart w:id="100012" w:name="_Toc100012"/>
      <w:r>
        <w:rPr>
          <w:rFonts w:ascii="Arial" w:eastAsia="SimHei"/>
          <w:b/>
          <w:bCs/>
          <w:color w:val="0A1628"/>
          <w:sz w:val="32"/>
          <w:szCs w:val="32"/>
        </w:rPr>
        <w:t xml:space="preserve">5. Kimi vs Kimi — the Advanced Tier</w:t>
      </w:r>
      <w:bookmarkEnd w:id="100012"/>
    </w:p>
    <w:p>
      <w:pPr>
        <w:pStyle w:val="Heading2"/>
        <w:spacing w:after="140" w:before="280" w:line="312"/>
      </w:pPr>
      <w:bookmarkStart w:id="100013" w:name="_Toc100013"/>
      <w:r>
        <w:rPr>
          <w:rFonts w:ascii="Arial" w:eastAsia="SimHei"/>
          <w:b/>
          <w:bCs/>
          <w:color w:val="0A1628"/>
          <w:sz w:val="26"/>
          <w:szCs w:val="26"/>
        </w:rPr>
        <w:t xml:space="preserve">5.1 What the public internet says</w:t>
      </w:r>
      <w:bookmarkEnd w:id="100013"/>
    </w:p>
    <w:p>
      <w:pPr>
        <w:spacing w:after="160" w:line="312"/>
        <w:jc w:val="both"/>
      </w:pPr>
      <w:r>
        <w:rPr>
          <w:rFonts w:ascii="Times New Roman" w:eastAsia="SimSun"/>
          <w:b w:val="false"/>
          <w:bCs w:val="false"/>
          <w:i w:val="false"/>
          <w:iCs w:val="false"/>
          <w:color w:val="1A2B40"/>
          <w:sz w:val="24"/>
          <w:szCs w:val="24"/>
        </w:rPr>
        <w:t xml:space="preserve">Kimi Deep Research is the best-documented of the three products, because Moonshot AI publishes an official help page describing its working chain. The feature is driven by Kimi-Researcher, a model trained with end-to-end agentic reinforcement learning specifically for research tasks. Each task runs the full chain autonomously: intent clarification, where the model asks targeted questions back and the user can refine the direction or choose full-scope research; deep thinking, averaging 23 reasoning steps per task; active search, with an average of 74 keywords planned and 206 URLs found per task, of which only the top 3.2 percent of content by quality is kept; deep reasoning that adjusts the research path dynamically based on intermediate results; tool calls, including a browser and code execution for processing raw data; and finally report generation. Runs are asynchronous, typically 10 to 25 minutes, and the user can watch keywords, reasoning and visited URLs accumulate in real time.</w:t>
      </w:r>
    </w:p>
    <w:p>
      <w:pPr>
        <w:spacing w:after="160" w:line="312"/>
        <w:jc w:val="both"/>
      </w:pPr>
      <w:r>
        <w:rPr>
          <w:rFonts w:ascii="Times New Roman" w:eastAsia="SimSun"/>
          <w:b w:val="false"/>
          <w:bCs w:val="false"/>
          <w:i w:val="false"/>
          <w:iCs w:val="false"/>
          <w:color w:val="1A2B40"/>
          <w:sz w:val="24"/>
          <w:szCs w:val="24"/>
        </w:rPr>
        <w:t xml:space="preserve">The official deliverables are unusually specific. Every completed task produces two artifacts. The first is a deep research report: a structured Markdown document of more than ten thousand characters with roughly 26 inline citations that are clickable, jump to the source and highlight the original text. The second is an interactive, shareable HTML visualization report with structured layout and mind-map navigation that lets a reader grasp structure and conclusions without reading the full text. Reports export to PDF and Word. The official guidance is equally concrete: bound the time range, region and source types when posing the question; split oversized questions into sub-questions; keep clarification replies concise; and do not use the feature for creative writing, entertainment or fixed-template outputs.</w:t>
      </w:r>
    </w:p>
    <w:p>
      <w:pPr>
        <w:pStyle w:val="Heading2"/>
        <w:spacing w:after="140" w:before="280" w:line="312"/>
      </w:pPr>
      <w:bookmarkStart w:id="100014" w:name="_Toc100014"/>
      <w:r>
        <w:rPr>
          <w:rFonts w:ascii="Arial" w:eastAsia="SimHei"/>
          <w:b/>
          <w:bCs/>
          <w:color w:val="0A1628"/>
          <w:sz w:val="26"/>
          <w:szCs w:val="26"/>
        </w:rPr>
        <w:t xml:space="preserve">5.2 What skills_full.pdf specifies</w:t>
      </w:r>
      <w:bookmarkEnd w:id="100014"/>
    </w:p>
    <w:p>
      <w:pPr>
        <w:spacing w:after="160" w:line="312"/>
        <w:jc w:val="both"/>
      </w:pPr>
      <w:r>
        <w:rPr>
          <w:rFonts w:ascii="Times New Roman" w:eastAsia="SimSun"/>
          <w:b w:val="false"/>
          <w:bCs w:val="false"/>
          <w:i w:val="false"/>
          <w:iCs w:val="false"/>
          <w:color w:val="1A2B40"/>
          <w:sz w:val="24"/>
          <w:szCs w:val="24"/>
        </w:rPr>
        <w:t xml:space="preserve">The uploaded 1,073-page collection documents the complete skill library of the Kimi agent environment — 271 skills with unabridged definitions. The research-relevant material sits in two nearly identical skills, deep-research and deep-research-v2, which differ only in citation format. Their research and discovery phase is a ten-plus-step loop: read any attached files first to understand background; clarify intent through a dedicated ask-user tool before proceeding; perform at least ten search steps across multiple dimensions while avoiding keyword redundancy; prioritize authoritative sources — government sites, academic databases, peer-reviewed journals — and never fabricate data; after every search round, emit a short Thinking section reflecting on what was found, what is missing and what the next step should be, followed by a short Summary of key findings; use Python for calculations, data cleaning, statistical analysis and verification whenever precision is required; and plan visualizations according to a dedicated workflow that judges every visual on correctness against its source.</w:t>
      </w:r>
    </w:p>
    <w:p>
      <w:pPr>
        <w:spacing w:after="160" w:line="312"/>
        <w:jc w:val="both"/>
      </w:pPr>
      <w:r>
        <w:rPr>
          <w:rFonts w:ascii="Times New Roman" w:eastAsia="SimSun"/>
          <w:b w:val="false"/>
          <w:bCs w:val="false"/>
          <w:i w:val="false"/>
          <w:iCs w:val="false"/>
          <w:color w:val="1A2B40"/>
          <w:sz w:val="24"/>
          <w:szCs w:val="24"/>
        </w:rPr>
        <w:t xml:space="preserve">The report-engineering standards are the file's signature. Reports open with a conditional short answer — a direct answer at the beginning only when the question admits one — and default to strict academic format, adapting to a story or interview style only when the request implies it. Depth is mode-based: academic and survey mode demands full definitions, formulas, statistical indicators and baseline comparisons, while lifestyle and practical mode demands human insights, pros and cons and actionable trade-offs. Length targets long-form scale, with every paragraph between 100 and 1,000 words, every subsection containing more than one paragraph, and natural transitions instead of enumerated filler. Tables are mandatory as the primary structural tool, with recurring entities consolidated into centralized comparison tables and citations placed directly inside data cells rather than in a separate source column.</w:t>
      </w:r>
    </w:p>
    <w:p>
      <w:pPr>
        <w:spacing w:after="160" w:line="312"/>
        <w:jc w:val="both"/>
      </w:pPr>
      <w:r>
        <w:rPr>
          <w:rFonts w:ascii="Times New Roman" w:eastAsia="SimSun"/>
          <w:b w:val="false"/>
          <w:bCs w:val="false"/>
          <w:i w:val="false"/>
          <w:iCs w:val="false"/>
          <w:color w:val="1A2B40"/>
          <w:sz w:val="24"/>
          <w:szCs w:val="24"/>
        </w:rPr>
        <w:t xml:space="preserve">Citation formatting is prescribed to the character. Version one uses immutable numeric citation IDs inherited from the tool results, at most two per sentence, never renumbered; version two uses inline source links carrying real, accessible URLs and short source names. Both versions forbid an end-of-report references section — the citation IDs and links are themselves the references. Key findings and numbers are bolded sparingly, high-stakes topics close with a general-information disclaimer, and visuals cover both data-driven charts, which must never fabricate values, and conceptual diagrams. Output is file-based by default: a Markdown report written to the output directory, with docx, pdf, xlsx, pptx and webapp outputs routed through their dedicated skills after their instructions are read.</w:t>
      </w:r>
    </w:p>
    <w:p>
      <w:pPr>
        <w:pStyle w:val="Heading2"/>
        <w:spacing w:after="140" w:before="280" w:line="312"/>
      </w:pPr>
      <w:bookmarkStart w:id="100015" w:name="_Toc100015"/>
      <w:r>
        <w:rPr>
          <w:rFonts w:ascii="Arial" w:eastAsia="SimHei"/>
          <w:b/>
          <w:bCs/>
          <w:color w:val="0A1628"/>
          <w:sz w:val="26"/>
          <w:szCs w:val="26"/>
        </w:rPr>
        <w:t xml:space="preserve">5.3 What v9.13 currently implements</w:t>
      </w:r>
      <w:bookmarkEnd w:id="100015"/>
    </w:p>
    <w:p>
      <w:pPr>
        <w:spacing w:after="160" w:line="312"/>
        <w:jc w:val="both"/>
      </w:pPr>
      <w:r>
        <w:rPr>
          <w:rFonts w:ascii="Times New Roman" w:eastAsia="SimSun"/>
          <w:b w:val="false"/>
          <w:bCs w:val="false"/>
          <w:i w:val="false"/>
          <w:iCs w:val="false"/>
          <w:color w:val="1A2B40"/>
          <w:sz w:val="24"/>
          <w:szCs w:val="24"/>
        </w:rPr>
        <w:t xml:space="preserve">The Advanced tier today is the agentic core of the file's loop. It decomposes the question into sub-questions that render as a live checklist, browses in parallel across the enabled engines with a 12-turn and 45-tool-run budget, reflects between rounds, backtracks by abandoning unproductive lines, and cross-verifies key claims across different domains through the VERIFY directive. The report contract is 1,500 to 2,500 words with a comparison table and a cross-validation note. The mechanical fit with the file is strong — the loop shape, the multi-dimensional search, the reflection and the verification all correspond to counterparts in the skill definition. The interface and output layers, however, diverge: the tier launches without asking anything, the trail shows actions rather than a structured thinking-and-summary pair per round, and the deliverable is a chat report with numbered citations in a closing list, with no visualizations and no file output.</w:t>
      </w:r>
    </w:p>
    <w:p>
      <w:pPr>
        <w:pStyle w:val="Heading2"/>
        <w:spacing w:after="140" w:before="280" w:line="312"/>
      </w:pPr>
      <w:bookmarkStart w:id="100016" w:name="_Toc100016"/>
      <w:r>
        <w:rPr>
          <w:rFonts w:ascii="Arial" w:eastAsia="SimHei"/>
          <w:b/>
          <w:bCs/>
          <w:color w:val="0A1628"/>
          <w:sz w:val="26"/>
          <w:szCs w:val="26"/>
        </w:rPr>
        <w:t xml:space="preserve">5.4 Agreement and gap analysis</w:t>
      </w:r>
      <w:bookmarkEnd w:id="100016"/>
    </w:p>
    <w:p>
      <w:pPr>
        <w:spacing w:after="160" w:line="312"/>
        <w:jc w:val="both"/>
      </w:pPr>
      <w:r>
        <w:rPr>
          <w:rFonts w:ascii="Times New Roman" w:eastAsia="SimSun"/>
          <w:b w:val="false"/>
          <w:bCs w:val="false"/>
          <w:i w:val="false"/>
          <w:iCs w:val="false"/>
          <w:color w:val="1A2B40"/>
          <w:sz w:val="24"/>
          <w:szCs w:val="24"/>
        </w:rPr>
        <w:t xml:space="preserve">Table 3 rates the Advanced tier on ten dimensions against the official product documentation and the uploaded skill definitions.</w:t>
      </w:r>
    </w:p>
    <w:p>
      <w:pPr>
        <w:keepNext/>
        <w:spacing w:after="100" w:before="120" w:line="312"/>
      </w:pPr>
      <w:r>
        <w:rPr>
          <w:rFonts w:ascii="Times New Roman" w:eastAsia="SimSun"/>
          <w:b/>
          <w:bCs/>
          <w:color w:val="0A1628"/>
          <w:sz w:val="21"/>
          <w:szCs w:val="21"/>
        </w:rPr>
        <w:t xml:space="preserve">Table 3 — Kimi engine: internet basis vs uploaded specification vs current implementation</w:t>
      </w:r>
    </w:p>
    <w:tbl>
      <w:tblPr>
        <w:tblW w:type="pct" w:w="100%"/>
        <w:tblBorders>
          <w:top w:val="single" w:color="5B8DB8" w:sz="6"/>
          <w:left w:val="none" w:color="auto" w:sz="0"/>
          <w:bottom w:val="single" w:color="5B8DB8" w:sz="6"/>
          <w:right w:val="none" w:color="auto" w:sz="0"/>
          <w:insideH w:val="single" w:color="D9E2EC" w:sz="2"/>
          <w:insideV w:val="single" w:color="E4EBF2" w:sz="2"/>
        </w:tblBorders>
      </w:tblPr>
      <w:tblGrid>
        <w:gridCol w:w="100"/>
        <w:gridCol w:w="100"/>
        <w:gridCol w:w="100"/>
        <w:gridCol w:w="100"/>
      </w:tblGrid>
      <w:tr>
        <w:trPr>
          <w:cantSplit/>
          <w:tblHeader/>
        </w:trPr>
        <w:tc>
          <w:tcPr>
            <w:tcW w:type="pct" w:w="16%"/>
            <w:shd w:fill="E9F1F8" w:val="clear"/>
            <w:tcMar>
              <w:top w:type="dxa" w:w="80"/>
              <w:left w:type="dxa" w:w="110"/>
              <w:bottom w:type="dxa" w:w="80"/>
              <w:right w:type="dxa" w:w="110"/>
            </w:tcMar>
          </w:tcPr>
          <w:p>
            <w:pPr>
              <w:spacing w:line="276"/>
            </w:pPr>
            <w:r>
              <w:rPr>
                <w:rFonts w:ascii="Times New Roman" w:eastAsia="SimSun"/>
                <w:b/>
                <w:bCs/>
                <w:color w:val="0A1628"/>
                <w:sz w:val="18"/>
                <w:szCs w:val="18"/>
              </w:rPr>
              <w:t xml:space="preserve">Dimension</w:t>
            </w:r>
          </w:p>
        </w:tc>
        <w:tc>
          <w:tcPr>
            <w:tcW w:type="pct" w:w="30%"/>
            <w:shd w:fill="E9F1F8" w:val="clear"/>
            <w:tcMar>
              <w:top w:type="dxa" w:w="80"/>
              <w:left w:type="dxa" w:w="110"/>
              <w:bottom w:type="dxa" w:w="80"/>
              <w:right w:type="dxa" w:w="110"/>
            </w:tcMar>
          </w:tcPr>
          <w:p>
            <w:pPr>
              <w:spacing w:line="276"/>
            </w:pPr>
            <w:r>
              <w:rPr>
                <w:rFonts w:ascii="Times New Roman" w:eastAsia="SimSun"/>
                <w:b/>
                <w:bCs/>
                <w:color w:val="0A1628"/>
                <w:sz w:val="18"/>
                <w:szCs w:val="18"/>
              </w:rPr>
              <w:t xml:space="preserve">Internet knowledge (v9.13 basis)</w:t>
            </w:r>
          </w:p>
        </w:tc>
        <w:tc>
          <w:tcPr>
            <w:tcW w:type="pct" w:w="32%"/>
            <w:shd w:fill="E9F1F8" w:val="clear"/>
            <w:tcMar>
              <w:top w:type="dxa" w:w="80"/>
              <w:left w:type="dxa" w:w="110"/>
              <w:bottom w:type="dxa" w:w="80"/>
              <w:right w:type="dxa" w:w="110"/>
            </w:tcMar>
          </w:tcPr>
          <w:p>
            <w:pPr>
              <w:spacing w:line="276"/>
            </w:pPr>
            <w:r>
              <w:rPr>
                <w:rFonts w:ascii="Times New Roman" w:eastAsia="SimSun"/>
                <w:b/>
                <w:bCs/>
                <w:color w:val="0A1628"/>
                <w:sz w:val="18"/>
                <w:szCs w:val="18"/>
              </w:rPr>
              <w:t xml:space="preserve">Your uploaded file specifies</w:t>
            </w:r>
          </w:p>
        </w:tc>
        <w:tc>
          <w:tcPr>
            <w:tcW w:type="pct" w:w="22%"/>
            <w:shd w:fill="E9F1F8" w:val="clear"/>
            <w:tcMar>
              <w:top w:type="dxa" w:w="80"/>
              <w:left w:type="dxa" w:w="110"/>
              <w:bottom w:type="dxa" w:w="80"/>
              <w:right w:type="dxa" w:w="110"/>
            </w:tcMar>
          </w:tcPr>
          <w:p>
            <w:pPr>
              <w:spacing w:line="276"/>
            </w:pPr>
            <w:r>
              <w:rPr>
                <w:rFonts w:ascii="Times New Roman" w:eastAsia="SimSun"/>
                <w:b/>
                <w:bCs/>
                <w:color w:val="0A1628"/>
                <w:sz w:val="18"/>
                <w:szCs w:val="18"/>
              </w:rPr>
              <w:t xml:space="preserve">v9.13 status</w:t>
            </w:r>
          </w:p>
        </w:tc>
      </w:tr>
      <w:tr>
        <w:trPr>
          <w:cantSplit/>
        </w:trPr>
        <w:tc>
          <w:tcPr>
            <w:tcW w:type="pct" w:w="16%"/>
            <w:tcMar>
              <w:top w:type="dxa" w:w="80"/>
              <w:left w:type="dxa" w:w="110"/>
              <w:bottom w:type="dxa" w:w="80"/>
              <w:right w:type="dxa" w:w="110"/>
            </w:tcMar>
          </w:tcPr>
          <w:p>
            <w:pPr>
              <w:spacing w:line="276"/>
            </w:pPr>
            <w:r>
              <w:rPr>
                <w:rFonts w:ascii="Times New Roman" w:eastAsia="SimSun"/>
                <w:b/>
                <w:bCs/>
                <w:color w:val="0A1628"/>
                <w:sz w:val="18"/>
                <w:szCs w:val="18"/>
              </w:rPr>
              <w:t xml:space="preserve">Intent clarification</w:t>
            </w:r>
          </w:p>
        </w:tc>
        <w:tc>
          <w:tcPr>
            <w:tcW w:type="pct" w:w="30%"/>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Model asks back before research; user may redirect or skip</w:t>
            </w:r>
          </w:p>
        </w:tc>
        <w:tc>
          <w:tcPr>
            <w:tcW w:type="pct" w:w="32%"/>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ask-user step before searching begins</w:t>
            </w:r>
          </w:p>
        </w:tc>
        <w:tc>
          <w:tcPr>
            <w:tcW w:type="pct" w:w="22%"/>
            <w:tcMar>
              <w:top w:type="dxa" w:w="80"/>
              <w:left w:type="dxa" w:w="110"/>
              <w:bottom w:type="dxa" w:w="80"/>
              <w:right w:type="dxa" w:w="110"/>
            </w:tcMar>
          </w:tcPr>
          <w:p>
            <w:pPr>
              <w:spacing w:line="276"/>
            </w:pPr>
            <w:r>
              <w:rPr>
                <w:rFonts w:ascii="Times New Roman" w:eastAsia="SimSun"/>
                <w:b/>
                <w:bCs/>
                <w:color w:val="B03A2E"/>
                <w:sz w:val="18"/>
                <w:szCs w:val="18"/>
              </w:rPr>
              <w:t xml:space="preserve">MISSING</w:t>
            </w:r>
            <w:r>
              <w:rPr>
                <w:rFonts w:ascii="Times New Roman" w:eastAsia="SimSun"/>
                <w:b w:val="false"/>
                <w:bCs w:val="false"/>
                <w:color w:val="1A2B40"/>
                <w:sz w:val="18"/>
                <w:szCs w:val="18"/>
              </w:rPr>
              <w:t xml:space="preserve"/>
            </w:r>
          </w:p>
        </w:tc>
      </w:tr>
      <w:tr>
        <w:trPr>
          <w:cantSplit/>
        </w:trPr>
        <w:tc>
          <w:tcPr>
            <w:tcW w:type="pct" w:w="16%"/>
            <w:tcMar>
              <w:top w:type="dxa" w:w="80"/>
              <w:left w:type="dxa" w:w="110"/>
              <w:bottom w:type="dxa" w:w="80"/>
              <w:right w:type="dxa" w:w="110"/>
            </w:tcMar>
          </w:tcPr>
          <w:p>
            <w:pPr>
              <w:spacing w:line="276"/>
            </w:pPr>
            <w:r>
              <w:rPr>
                <w:rFonts w:ascii="Times New Roman" w:eastAsia="SimSun"/>
                <w:b/>
                <w:bCs/>
                <w:color w:val="0A1628"/>
                <w:sz w:val="18"/>
                <w:szCs w:val="18"/>
              </w:rPr>
              <w:t xml:space="preserve">Reasoning depth</w:t>
            </w:r>
          </w:p>
        </w:tc>
        <w:tc>
          <w:tcPr>
            <w:tcW w:type="pct" w:w="30%"/>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Average 23 reasoning steps per task</w:t>
            </w:r>
          </w:p>
        </w:tc>
        <w:tc>
          <w:tcPr>
            <w:tcW w:type="pct" w:w="32%"/>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At least 10 search steps, multi-dimensional</w:t>
            </w:r>
          </w:p>
        </w:tc>
        <w:tc>
          <w:tcPr>
            <w:tcW w:type="pct" w:w="22%"/>
            <w:tcMar>
              <w:top w:type="dxa" w:w="80"/>
              <w:left w:type="dxa" w:w="110"/>
              <w:bottom w:type="dxa" w:w="80"/>
              <w:right w:type="dxa" w:w="110"/>
            </w:tcMar>
          </w:tcPr>
          <w:p>
            <w:pPr>
              <w:spacing w:line="276"/>
            </w:pPr>
            <w:r>
              <w:rPr>
                <w:rFonts w:ascii="Times New Roman" w:eastAsia="SimSun"/>
                <w:b/>
                <w:bCs/>
                <w:color w:val="2E7D32"/>
                <w:sz w:val="18"/>
                <w:szCs w:val="18"/>
              </w:rPr>
              <w:t xml:space="preserve">ALIGNED</w:t>
            </w:r>
            <w:r>
              <w:rPr>
                <w:rFonts w:ascii="Times New Roman" w:eastAsia="SimSun"/>
                <w:b w:val="false"/>
                <w:bCs w:val="false"/>
                <w:color w:val="1A2B40"/>
                <w:sz w:val="18"/>
                <w:szCs w:val="18"/>
              </w:rPr>
              <w:t xml:space="preserve"> — 12-turn budget sits above the ten-step floor</w:t>
            </w:r>
          </w:p>
        </w:tc>
      </w:tr>
      <w:tr>
        <w:trPr>
          <w:cantSplit/>
        </w:trPr>
        <w:tc>
          <w:tcPr>
            <w:tcW w:type="pct" w:w="16%"/>
            <w:tcMar>
              <w:top w:type="dxa" w:w="80"/>
              <w:left w:type="dxa" w:w="110"/>
              <w:bottom w:type="dxa" w:w="80"/>
              <w:right w:type="dxa" w:w="110"/>
            </w:tcMar>
          </w:tcPr>
          <w:p>
            <w:pPr>
              <w:spacing w:line="276"/>
            </w:pPr>
            <w:r>
              <w:rPr>
                <w:rFonts w:ascii="Times New Roman" w:eastAsia="SimSun"/>
                <w:b/>
                <w:bCs/>
                <w:color w:val="0A1628"/>
                <w:sz w:val="18"/>
                <w:szCs w:val="18"/>
              </w:rPr>
              <w:t xml:space="preserve">Source discipline</w:t>
            </w:r>
          </w:p>
        </w:tc>
        <w:tc>
          <w:tcPr>
            <w:tcW w:type="pct" w:w="30%"/>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206 URLs found, top 3.2 percent kept</w:t>
            </w:r>
          </w:p>
        </w:tc>
        <w:tc>
          <w:tcPr>
            <w:tcW w:type="pct" w:w="32%"/>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Authoritative sources first, never fabricate</w:t>
            </w:r>
          </w:p>
        </w:tc>
        <w:tc>
          <w:tcPr>
            <w:tcW w:type="pct" w:w="22%"/>
            <w:tcMar>
              <w:top w:type="dxa" w:w="80"/>
              <w:left w:type="dxa" w:w="110"/>
              <w:bottom w:type="dxa" w:w="80"/>
              <w:right w:type="dxa" w:w="110"/>
            </w:tcMar>
          </w:tcPr>
          <w:p>
            <w:pPr>
              <w:spacing w:line="276"/>
            </w:pPr>
            <w:r>
              <w:rPr>
                <w:rFonts w:ascii="Times New Roman" w:eastAsia="SimSun"/>
                <w:b/>
                <w:bCs/>
                <w:color w:val="9C6B10"/>
                <w:sz w:val="18"/>
                <w:szCs w:val="18"/>
              </w:rPr>
              <w:t xml:space="preserve">PARTIAL</w:t>
            </w:r>
            <w:r>
              <w:rPr>
                <w:rFonts w:ascii="Times New Roman" w:eastAsia="SimSun"/>
                <w:b w:val="false"/>
                <w:bCs w:val="false"/>
                <w:color w:val="1A2B40"/>
                <w:sz w:val="18"/>
                <w:szCs w:val="18"/>
              </w:rPr>
              <w:t xml:space="preserve"> — sources pooled without explicit ranking</w:t>
            </w:r>
          </w:p>
        </w:tc>
      </w:tr>
      <w:tr>
        <w:trPr>
          <w:cantSplit/>
        </w:trPr>
        <w:tc>
          <w:tcPr>
            <w:tcW w:type="pct" w:w="16%"/>
            <w:tcMar>
              <w:top w:type="dxa" w:w="80"/>
              <w:left w:type="dxa" w:w="110"/>
              <w:bottom w:type="dxa" w:w="80"/>
              <w:right w:type="dxa" w:w="110"/>
            </w:tcMar>
          </w:tcPr>
          <w:p>
            <w:pPr>
              <w:spacing w:line="276"/>
            </w:pPr>
            <w:r>
              <w:rPr>
                <w:rFonts w:ascii="Times New Roman" w:eastAsia="SimSun"/>
                <w:b/>
                <w:bCs/>
                <w:color w:val="0A1628"/>
                <w:sz w:val="18"/>
                <w:szCs w:val="18"/>
              </w:rPr>
              <w:t xml:space="preserve">Reflection</w:t>
            </w:r>
          </w:p>
        </w:tc>
        <w:tc>
          <w:tcPr>
            <w:tcW w:type="pct" w:w="30%"/>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Path adjusts on intermediate results</w:t>
            </w:r>
          </w:p>
        </w:tc>
        <w:tc>
          <w:tcPr>
            <w:tcW w:type="pct" w:w="32%"/>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Thinking plus Summary pair after every search round</w:t>
            </w:r>
          </w:p>
        </w:tc>
        <w:tc>
          <w:tcPr>
            <w:tcW w:type="pct" w:w="22%"/>
            <w:tcMar>
              <w:top w:type="dxa" w:w="80"/>
              <w:left w:type="dxa" w:w="110"/>
              <w:bottom w:type="dxa" w:w="80"/>
              <w:right w:type="dxa" w:w="110"/>
            </w:tcMar>
          </w:tcPr>
          <w:p>
            <w:pPr>
              <w:spacing w:line="276"/>
            </w:pPr>
            <w:r>
              <w:rPr>
                <w:rFonts w:ascii="Times New Roman" w:eastAsia="SimSun"/>
                <w:b/>
                <w:bCs/>
                <w:color w:val="9C6B10"/>
                <w:sz w:val="18"/>
                <w:szCs w:val="18"/>
              </w:rPr>
              <w:t xml:space="preserve">PARTIAL</w:t>
            </w:r>
            <w:r>
              <w:rPr>
                <w:rFonts w:ascii="Times New Roman" w:eastAsia="SimSun"/>
                <w:b w:val="false"/>
                <w:bCs w:val="false"/>
                <w:color w:val="1A2B40"/>
                <w:sz w:val="18"/>
                <w:szCs w:val="18"/>
              </w:rPr>
              <w:t xml:space="preserve"> — REFLECT exists, no fixed per-round format</w:t>
            </w:r>
          </w:p>
        </w:tc>
      </w:tr>
      <w:tr>
        <w:trPr>
          <w:cantSplit/>
        </w:trPr>
        <w:tc>
          <w:tcPr>
            <w:tcW w:type="pct" w:w="16%"/>
            <w:tcMar>
              <w:top w:type="dxa" w:w="80"/>
              <w:left w:type="dxa" w:w="110"/>
              <w:bottom w:type="dxa" w:w="80"/>
              <w:right w:type="dxa" w:w="110"/>
            </w:tcMar>
          </w:tcPr>
          <w:p>
            <w:pPr>
              <w:spacing w:line="276"/>
            </w:pPr>
            <w:r>
              <w:rPr>
                <w:rFonts w:ascii="Times New Roman" w:eastAsia="SimSun"/>
                <w:b/>
                <w:bCs/>
                <w:color w:val="0A1628"/>
                <w:sz w:val="18"/>
                <w:szCs w:val="18"/>
              </w:rPr>
              <w:t xml:space="preserve">Quantitative analysis</w:t>
            </w:r>
          </w:p>
        </w:tc>
        <w:tc>
          <w:tcPr>
            <w:tcW w:type="pct" w:w="30%"/>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Code tools used during research</w:t>
            </w:r>
          </w:p>
        </w:tc>
        <w:tc>
          <w:tcPr>
            <w:tcW w:type="pct" w:w="32%"/>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Python for calculation and verification</w:t>
            </w:r>
          </w:p>
        </w:tc>
        <w:tc>
          <w:tcPr>
            <w:tcW w:type="pct" w:w="22%"/>
            <w:tcMar>
              <w:top w:type="dxa" w:w="80"/>
              <w:left w:type="dxa" w:w="110"/>
              <w:bottom w:type="dxa" w:w="80"/>
              <w:right w:type="dxa" w:w="110"/>
            </w:tcMar>
          </w:tcPr>
          <w:p>
            <w:pPr>
              <w:spacing w:line="276"/>
            </w:pPr>
            <w:r>
              <w:rPr>
                <w:rFonts w:ascii="Times New Roman" w:eastAsia="SimSun"/>
                <w:b/>
                <w:bCs/>
                <w:color w:val="9C6B10"/>
                <w:sz w:val="18"/>
                <w:szCs w:val="18"/>
              </w:rPr>
              <w:t xml:space="preserve">PARTIAL</w:t>
            </w:r>
            <w:r>
              <w:rPr>
                <w:rFonts w:ascii="Times New Roman" w:eastAsia="SimSun"/>
                <w:b w:val="false"/>
                <w:bCs w:val="false"/>
                <w:color w:val="1A2B40"/>
                <w:sz w:val="18"/>
                <w:szCs w:val="18"/>
              </w:rPr>
              <w:t xml:space="preserve"> — CALC tool exists outside the loop</w:t>
            </w:r>
          </w:p>
        </w:tc>
      </w:tr>
      <w:tr>
        <w:trPr>
          <w:cantSplit/>
        </w:trPr>
        <w:tc>
          <w:tcPr>
            <w:tcW w:type="pct" w:w="16%"/>
            <w:tcMar>
              <w:top w:type="dxa" w:w="80"/>
              <w:left w:type="dxa" w:w="110"/>
              <w:bottom w:type="dxa" w:w="80"/>
              <w:right w:type="dxa" w:w="110"/>
            </w:tcMar>
          </w:tcPr>
          <w:p>
            <w:pPr>
              <w:spacing w:line="276"/>
            </w:pPr>
            <w:r>
              <w:rPr>
                <w:rFonts w:ascii="Times New Roman" w:eastAsia="SimSun"/>
                <w:b/>
                <w:bCs/>
                <w:color w:val="0A1628"/>
                <w:sz w:val="18"/>
                <w:szCs w:val="18"/>
              </w:rPr>
              <w:t xml:space="preserve">Visualization</w:t>
            </w:r>
          </w:p>
        </w:tc>
        <w:tc>
          <w:tcPr>
            <w:tcW w:type="pct" w:w="30%"/>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Interactive HTML report with mind map</w:t>
            </w:r>
          </w:p>
        </w:tc>
        <w:tc>
          <w:tcPr>
            <w:tcW w:type="pct" w:w="32%"/>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Data charts and conceptual diagrams, correctness bar</w:t>
            </w:r>
          </w:p>
        </w:tc>
        <w:tc>
          <w:tcPr>
            <w:tcW w:type="pct" w:w="22%"/>
            <w:tcMar>
              <w:top w:type="dxa" w:w="80"/>
              <w:left w:type="dxa" w:w="110"/>
              <w:bottom w:type="dxa" w:w="80"/>
              <w:right w:type="dxa" w:w="110"/>
            </w:tcMar>
          </w:tcPr>
          <w:p>
            <w:pPr>
              <w:spacing w:line="276"/>
            </w:pPr>
            <w:r>
              <w:rPr>
                <w:rFonts w:ascii="Times New Roman" w:eastAsia="SimSun"/>
                <w:b/>
                <w:bCs/>
                <w:color w:val="B03A2E"/>
                <w:sz w:val="18"/>
                <w:szCs w:val="18"/>
              </w:rPr>
              <w:t xml:space="preserve">MISSING</w:t>
            </w:r>
            <w:r>
              <w:rPr>
                <w:rFonts w:ascii="Times New Roman" w:eastAsia="SimSun"/>
                <w:b w:val="false"/>
                <w:bCs w:val="false"/>
                <w:color w:val="1A2B40"/>
                <w:sz w:val="18"/>
                <w:szCs w:val="18"/>
              </w:rPr>
              <w:t xml:space="preserve"> — chart-studio exists but is not wired in</w:t>
            </w:r>
          </w:p>
        </w:tc>
      </w:tr>
      <w:tr>
        <w:trPr>
          <w:cantSplit/>
        </w:trPr>
        <w:tc>
          <w:tcPr>
            <w:tcW w:type="pct" w:w="16%"/>
            <w:tcMar>
              <w:top w:type="dxa" w:w="80"/>
              <w:left w:type="dxa" w:w="110"/>
              <w:bottom w:type="dxa" w:w="80"/>
              <w:right w:type="dxa" w:w="110"/>
            </w:tcMar>
          </w:tcPr>
          <w:p>
            <w:pPr>
              <w:spacing w:line="276"/>
            </w:pPr>
            <w:r>
              <w:rPr>
                <w:rFonts w:ascii="Times New Roman" w:eastAsia="SimSun"/>
                <w:b/>
                <w:bCs/>
                <w:color w:val="0A1628"/>
                <w:sz w:val="18"/>
                <w:szCs w:val="18"/>
              </w:rPr>
              <w:t xml:space="preserve">Report engineering</w:t>
            </w:r>
          </w:p>
        </w:tc>
        <w:tc>
          <w:tcPr>
            <w:tcW w:type="pct" w:w="30%"/>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10,000+ character structured report</w:t>
            </w:r>
          </w:p>
        </w:tc>
        <w:tc>
          <w:tcPr>
            <w:tcW w:type="pct" w:w="32%"/>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Paragraph rules, tables primary, conditional lead answer, mode adaptation</w:t>
            </w:r>
          </w:p>
        </w:tc>
        <w:tc>
          <w:tcPr>
            <w:tcW w:type="pct" w:w="22%"/>
            <w:tcMar>
              <w:top w:type="dxa" w:w="80"/>
              <w:left w:type="dxa" w:w="110"/>
              <w:bottom w:type="dxa" w:w="80"/>
              <w:right w:type="dxa" w:w="110"/>
            </w:tcMar>
          </w:tcPr>
          <w:p>
            <w:pPr>
              <w:spacing w:line="276"/>
            </w:pPr>
            <w:r>
              <w:rPr>
                <w:rFonts w:ascii="Times New Roman" w:eastAsia="SimSun"/>
                <w:b/>
                <w:bCs/>
                <w:color w:val="9C6B10"/>
                <w:sz w:val="18"/>
                <w:szCs w:val="18"/>
              </w:rPr>
              <w:t xml:space="preserve">PARTIAL</w:t>
            </w:r>
            <w:r>
              <w:rPr>
                <w:rFonts w:ascii="Times New Roman" w:eastAsia="SimSun"/>
                <w:b w:val="false"/>
                <w:bCs w:val="false"/>
                <w:color w:val="1A2B40"/>
                <w:sz w:val="18"/>
                <w:szCs w:val="18"/>
              </w:rPr>
              <w:t xml:space="preserve"> — long report and tables exist; rules not enforced</w:t>
            </w:r>
          </w:p>
        </w:tc>
      </w:tr>
      <w:tr>
        <w:trPr>
          <w:cantSplit/>
        </w:trPr>
        <w:tc>
          <w:tcPr>
            <w:tcW w:type="pct" w:w="16%"/>
            <w:tcMar>
              <w:top w:type="dxa" w:w="80"/>
              <w:left w:type="dxa" w:w="110"/>
              <w:bottom w:type="dxa" w:w="80"/>
              <w:right w:type="dxa" w:w="110"/>
            </w:tcMar>
          </w:tcPr>
          <w:p>
            <w:pPr>
              <w:spacing w:line="276"/>
            </w:pPr>
            <w:r>
              <w:rPr>
                <w:rFonts w:ascii="Times New Roman" w:eastAsia="SimSun"/>
                <w:b/>
                <w:bCs/>
                <w:color w:val="0A1628"/>
                <w:sz w:val="18"/>
                <w:szCs w:val="18"/>
              </w:rPr>
              <w:t xml:space="preserve">Citation style</w:t>
            </w:r>
          </w:p>
        </w:tc>
        <w:tc>
          <w:tcPr>
            <w:tcW w:type="pct" w:w="30%"/>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Inline, clickable, highlighted sources</w:t>
            </w:r>
          </w:p>
        </w:tc>
        <w:tc>
          <w:tcPr>
            <w:tcW w:type="pct" w:w="32%"/>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Immutable IDs (v1) or inline source links (v2); no end references</w:t>
            </w:r>
          </w:p>
        </w:tc>
        <w:tc>
          <w:tcPr>
            <w:tcW w:type="pct" w:w="22%"/>
            <w:tcMar>
              <w:top w:type="dxa" w:w="80"/>
              <w:left w:type="dxa" w:w="110"/>
              <w:bottom w:type="dxa" w:w="80"/>
              <w:right w:type="dxa" w:w="110"/>
            </w:tcMar>
          </w:tcPr>
          <w:p>
            <w:pPr>
              <w:spacing w:line="276"/>
            </w:pPr>
            <w:r>
              <w:rPr>
                <w:rFonts w:ascii="Times New Roman" w:eastAsia="SimSun"/>
                <w:b/>
                <w:bCs/>
                <w:color w:val="9C6B10"/>
                <w:sz w:val="18"/>
                <w:szCs w:val="18"/>
              </w:rPr>
              <w:t xml:space="preserve">PARTIAL</w:t>
            </w:r>
            <w:r>
              <w:rPr>
                <w:rFonts w:ascii="Times New Roman" w:eastAsia="SimSun"/>
                <w:b w:val="false"/>
                <w:bCs w:val="false"/>
                <w:color w:val="1A2B40"/>
                <w:sz w:val="18"/>
                <w:szCs w:val="18"/>
              </w:rPr>
              <w:t xml:space="preserve"> — numbered end-of-report list conflicts</w:t>
            </w:r>
          </w:p>
        </w:tc>
      </w:tr>
      <w:tr>
        <w:trPr>
          <w:cantSplit/>
        </w:trPr>
        <w:tc>
          <w:tcPr>
            <w:tcW w:type="pct" w:w="16%"/>
            <w:tcMar>
              <w:top w:type="dxa" w:w="80"/>
              <w:left w:type="dxa" w:w="110"/>
              <w:bottom w:type="dxa" w:w="80"/>
              <w:right w:type="dxa" w:w="110"/>
            </w:tcMar>
          </w:tcPr>
          <w:p>
            <w:pPr>
              <w:spacing w:line="276"/>
            </w:pPr>
            <w:r>
              <w:rPr>
                <w:rFonts w:ascii="Times New Roman" w:eastAsia="SimSun"/>
                <w:b/>
                <w:bCs/>
                <w:color w:val="0A1628"/>
                <w:sz w:val="18"/>
                <w:szCs w:val="18"/>
              </w:rPr>
              <w:t xml:space="preserve">Deliverables</w:t>
            </w:r>
          </w:p>
        </w:tc>
        <w:tc>
          <w:tcPr>
            <w:tcW w:type="pct" w:w="30%"/>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Report plus visualization report; PDF and Word export</w:t>
            </w:r>
          </w:p>
        </w:tc>
        <w:tc>
          <w:tcPr>
            <w:tcW w:type="pct" w:w="32%"/>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File output by default; office formats via dedicated skills</w:t>
            </w:r>
          </w:p>
        </w:tc>
        <w:tc>
          <w:tcPr>
            <w:tcW w:type="pct" w:w="22%"/>
            <w:tcMar>
              <w:top w:type="dxa" w:w="80"/>
              <w:left w:type="dxa" w:w="110"/>
              <w:bottom w:type="dxa" w:w="80"/>
              <w:right w:type="dxa" w:w="110"/>
            </w:tcMar>
          </w:tcPr>
          <w:p>
            <w:pPr>
              <w:spacing w:line="276"/>
            </w:pPr>
            <w:r>
              <w:rPr>
                <w:rFonts w:ascii="Times New Roman" w:eastAsia="SimSun"/>
                <w:b/>
                <w:bCs/>
                <w:color w:val="9C6B10"/>
                <w:sz w:val="18"/>
                <w:szCs w:val="18"/>
              </w:rPr>
              <w:t xml:space="preserve">PARTIAL</w:t>
            </w:r>
            <w:r>
              <w:rPr>
                <w:rFonts w:ascii="Times New Roman" w:eastAsia="SimSun"/>
                <w:b w:val="false"/>
                <w:bCs w:val="false"/>
                <w:color w:val="1A2B40"/>
                <w:sz w:val="18"/>
                <w:szCs w:val="18"/>
              </w:rPr>
              <w:t xml:space="preserve"> — chat report plus export buttons; no automatic file</w:t>
            </w:r>
          </w:p>
        </w:tc>
      </w:tr>
      <w:tr>
        <w:trPr>
          <w:cantSplit/>
        </w:trPr>
        <w:tc>
          <w:tcPr>
            <w:tcW w:type="pct" w:w="16%"/>
            <w:tcMar>
              <w:top w:type="dxa" w:w="80"/>
              <w:left w:type="dxa" w:w="110"/>
              <w:bottom w:type="dxa" w:w="80"/>
              <w:right w:type="dxa" w:w="110"/>
            </w:tcMar>
          </w:tcPr>
          <w:p>
            <w:pPr>
              <w:spacing w:line="276"/>
            </w:pPr>
            <w:r>
              <w:rPr>
                <w:rFonts w:ascii="Times New Roman" w:eastAsia="SimSun"/>
                <w:b/>
                <w:bCs/>
                <w:color w:val="0A1628"/>
                <w:sz w:val="18"/>
                <w:szCs w:val="18"/>
              </w:rPr>
              <w:t xml:space="preserve">Safety</w:t>
            </w:r>
          </w:p>
        </w:tc>
        <w:tc>
          <w:tcPr>
            <w:tcW w:type="pct" w:w="30%"/>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Not addressed publicly</w:t>
            </w:r>
          </w:p>
        </w:tc>
        <w:tc>
          <w:tcPr>
            <w:tcW w:type="pct" w:w="32%"/>
            <w:tcMar>
              <w:top w:type="dxa" w:w="80"/>
              <w:left w:type="dxa" w:w="110"/>
              <w:bottom w:type="dxa" w:w="80"/>
              <w:right w:type="dxa" w:w="110"/>
            </w:tcMar>
          </w:tcPr>
          <w:p>
            <w:pPr>
              <w:spacing w:line="276"/>
            </w:pPr>
            <w:r>
              <w:rPr>
                <w:rFonts w:ascii="Times New Roman" w:eastAsia="SimSun"/>
                <w:b w:val="false"/>
                <w:bCs w:val="false"/>
                <w:color w:val="1A2B40"/>
                <w:sz w:val="18"/>
                <w:szCs w:val="18"/>
              </w:rPr>
              <w:t xml:space="preserve">High-stakes disclaimer for medical, legal, financial topics</w:t>
            </w:r>
          </w:p>
        </w:tc>
        <w:tc>
          <w:tcPr>
            <w:tcW w:type="pct" w:w="22%"/>
            <w:tcMar>
              <w:top w:type="dxa" w:w="80"/>
              <w:left w:type="dxa" w:w="110"/>
              <w:bottom w:type="dxa" w:w="80"/>
              <w:right w:type="dxa" w:w="110"/>
            </w:tcMar>
          </w:tcPr>
          <w:p>
            <w:pPr>
              <w:spacing w:line="276"/>
            </w:pPr>
            <w:r>
              <w:rPr>
                <w:rFonts w:ascii="Times New Roman" w:eastAsia="SimSun"/>
                <w:b/>
                <w:bCs/>
                <w:color w:val="B03A2E"/>
                <w:sz w:val="18"/>
                <w:szCs w:val="18"/>
              </w:rPr>
              <w:t xml:space="preserve">MISSING</w:t>
            </w:r>
            <w:r>
              <w:rPr>
                <w:rFonts w:ascii="Times New Roman" w:eastAsia="SimSun"/>
                <w:b w:val="false"/>
                <w:bCs w:val="false"/>
                <w:color w:val="1A2B40"/>
                <w:sz w:val="18"/>
                <w:szCs w:val="18"/>
              </w:rPr>
              <w:t xml:space="preserve"/>
            </w:r>
          </w:p>
        </w:tc>
      </w:tr>
    </w:tbl>
    <w:p>
      <w:pPr>
        <w:spacing w:after="160" w:line="312"/>
        <w:jc w:val="both"/>
      </w:pPr>
      <w:r>
        <w:rPr>
          <w:rFonts w:ascii="Times New Roman" w:eastAsia="SimSun"/>
          <w:b w:val="false"/>
          <w:bCs w:val="false"/>
          <w:i w:val="false"/>
          <w:iCs w:val="false"/>
          <w:color w:val="1A2B40"/>
          <w:sz w:val="24"/>
          <w:szCs w:val="24"/>
        </w:rPr>
        <w:t xml:space="preserve">This is the closest of the three alignments. The engine's research mechanics — decompose, search widely, reflect, backtrack, verify — were inferred from the public methodology and turn out to match the file's loop step for step, and the 12-turn budget sits comfortably above the file's ten-search-step floor. The divergences concentrate in two places. First, the interaction contract: both the file and the official page make clarification a first-class step, and the official product makes the visualization report a co-equal deliverable, while v9.13 has neither. Second, the output contract: the report-engineering rules and the inline, no-bibliography citation style are structural choices in the file that the current chat-first, end-list format does not satisfy.</w:t>
      </w:r>
    </w:p>
    <w:p>
      <w:pPr>
        <w:pStyle w:val="Heading1"/>
        <w:spacing w:after="200" w:before="420" w:line="312"/>
      </w:pPr>
      <w:bookmarkStart w:id="100017" w:name="_Toc100017"/>
      <w:r>
        <w:rPr>
          <w:rFonts w:ascii="Arial" w:eastAsia="SimHei"/>
          <w:b/>
          <w:bCs/>
          <w:color w:val="0A1628"/>
          <w:sz w:val="32"/>
          <w:szCs w:val="32"/>
        </w:rPr>
        <w:t xml:space="preserve">6. Cross-Cutting Findings</w:t>
      </w:r>
      <w:bookmarkEnd w:id="100017"/>
    </w:p>
    <w:p>
      <w:pPr>
        <w:spacing w:after="160" w:line="312"/>
        <w:jc w:val="both"/>
      </w:pPr>
      <w:r>
        <w:rPr>
          <w:rFonts w:ascii="Times New Roman" w:eastAsia="SimSun"/>
          <w:b/>
          <w:bCs/>
          <w:i w:val="false"/>
          <w:iCs w:val="false"/>
          <w:color w:val="1A2B40"/>
          <w:sz w:val="24"/>
          <w:szCs w:val="24"/>
        </w:rPr>
        <w:t xml:space="preserve">First, the two knowledge sources are complementary rather than contradictory. </w:t>
      </w:r>
      <w:r>
        <w:rPr>
          <w:rFonts w:ascii="Times New Roman" w:eastAsia="SimSun"/>
          <w:b w:val="false"/>
          <w:bCs w:val="false"/>
          <w:i w:val="false"/>
          <w:iCs w:val="false"/>
          <w:color w:val="1A2B40"/>
          <w:sz w:val="24"/>
          <w:szCs w:val="24"/>
        </w:rPr>
        <w:t xml:space="preserve">The internet describes products — what each system does, how long it runs, what it produces; the files describe discipline — how each system should think, in what order, under which rules. Nowhere do they conflict on substance. Where they overlap most — the Kimi loop and the GPT plan-first depth — they agree, which raises confidence in both. The practical implication is that the reconciliation is additive: nothing in v9.13 needs to be undone, only extended.</w:t>
      </w:r>
    </w:p>
    <w:p>
      <w:pPr>
        <w:spacing w:after="160" w:line="312"/>
        <w:jc w:val="both"/>
      </w:pPr>
      <w:r>
        <w:rPr>
          <w:rFonts w:ascii="Times New Roman" w:eastAsia="SimSun"/>
          <w:b/>
          <w:bCs/>
          <w:i w:val="false"/>
          <w:iCs w:val="false"/>
          <w:color w:val="1A2B40"/>
          <w:sz w:val="24"/>
          <w:szCs w:val="24"/>
        </w:rPr>
        <w:t xml:space="preserve">Second, the tier gradient is confirmed by the files independently of the internet. </w:t>
      </w:r>
      <w:r>
        <w:rPr>
          <w:rFonts w:ascii="Times New Roman" w:eastAsia="SimSun"/>
          <w:b w:val="false"/>
          <w:bCs w:val="false"/>
          <w:i w:val="false"/>
          <w:iCs w:val="false"/>
          <w:color w:val="1A2B40"/>
          <w:sz w:val="24"/>
          <w:szCs w:val="24"/>
        </w:rPr>
        <w:t xml:space="preserve">The MiniMax pipeline is five steps; the Kimi loop is ten-plus steps with the strictest output contract of the three; the GPT methodology is open-ended in effort but closes with an audit and reproducibility layer the other two do not attempt. Ranked by rigor, the files order the engines exactly as the tiers do: compact and procedural (MiniMax), deep and generative (Kimi), deep and auditable (GPT). The Normal-Advanced-Ultra ladder chosen in v9.13 therefore survives contact with the primary material.</w:t>
      </w:r>
    </w:p>
    <w:p>
      <w:pPr>
        <w:spacing w:after="160" w:line="312"/>
        <w:jc w:val="both"/>
      </w:pPr>
      <w:r>
        <w:rPr>
          <w:rFonts w:ascii="Times New Roman" w:eastAsia="SimSun"/>
          <w:b/>
          <w:bCs/>
          <w:i w:val="false"/>
          <w:iCs w:val="false"/>
          <w:color w:val="1A2B40"/>
          <w:sz w:val="24"/>
          <w:szCs w:val="24"/>
        </w:rPr>
        <w:t xml:space="preserve">Third, the one conceptual correction concerns the Normal tier. </w:t>
      </w:r>
      <w:r>
        <w:rPr>
          <w:rFonts w:ascii="Times New Roman" w:eastAsia="SimSun"/>
          <w:b w:val="false"/>
          <w:bCs w:val="false"/>
          <w:i w:val="false"/>
          <w:iCs w:val="false"/>
          <w:color w:val="1A2B40"/>
          <w:sz w:val="24"/>
          <w:szCs w:val="24"/>
        </w:rPr>
        <w:t xml:space="preserve">The v9.13 quick grounded search is a legitimate light mode, but it is not what the MiniMax file describes, and labeling it MiniMax understates the engine. The file's engine is fast because its procedure is compact and locked, not because it skips planning and verification. The reconciliation should therefore re-sequence the existing five turns into the five steps — background, direction, a brief plan, verified search, written answer — rather than changing budgets or adding turns. Five disciplined turns can remain five fast turns.</w:t>
      </w:r>
    </w:p>
    <w:p>
      <w:pPr>
        <w:spacing w:after="160" w:line="312"/>
        <w:jc w:val="both"/>
      </w:pPr>
      <w:r>
        <w:rPr>
          <w:rFonts w:ascii="Times New Roman" w:eastAsia="SimSun"/>
          <w:b/>
          <w:bCs/>
          <w:i w:val="false"/>
          <w:iCs w:val="false"/>
          <w:color w:val="1A2B40"/>
          <w:sz w:val="24"/>
          <w:szCs w:val="24"/>
        </w:rPr>
        <w:t xml:space="preserve">Fourth, several gaps are shared by all three tiers and are better built once as shared infrastructure than three times as per-engine features. </w:t>
      </w:r>
      <w:r>
        <w:rPr>
          <w:rFonts w:ascii="Times New Roman" w:eastAsia="SimSun"/>
          <w:b w:val="false"/>
          <w:bCs w:val="false"/>
          <w:i w:val="false"/>
          <w:iCs w:val="false"/>
          <w:color w:val="1A2B40"/>
          <w:sz w:val="24"/>
          <w:szCs w:val="24"/>
        </w:rPr>
        <w:t xml:space="preserve">A pre-research clarification step with a full-scope skip option; explicit uncertainty marking in synthesis; a general-information disclaimer for medical, legal and financial topics; and a default file deliverable alongside the chat report. The application already owns most of the required machinery — the calculator directive, the chart studio from the skill pack, the export buttons and the sources panel — so these are wiring tasks rather than new capabilities.</w:t>
      </w:r>
    </w:p>
    <w:p>
      <w:pPr>
        <w:spacing w:after="160" w:line="312"/>
        <w:jc w:val="both"/>
      </w:pPr>
      <w:r>
        <w:rPr>
          <w:rFonts w:ascii="Times New Roman" w:eastAsia="SimSun"/>
          <w:b/>
          <w:bCs/>
          <w:i w:val="false"/>
          <w:iCs w:val="false"/>
          <w:color w:val="1A2B40"/>
          <w:sz w:val="24"/>
          <w:szCs w:val="24"/>
        </w:rPr>
        <w:t xml:space="preserve">Fifth, the files reveal one capability with no v9.13 counterpart at any tier. </w:t>
      </w:r>
      <w:r>
        <w:rPr>
          <w:rFonts w:ascii="Times New Roman" w:eastAsia="SimSun"/>
          <w:b w:val="false"/>
          <w:bCs w:val="false"/>
          <w:i w:val="false"/>
          <w:iCs w:val="false"/>
          <w:color w:val="1A2B40"/>
          <w:sz w:val="24"/>
          <w:szCs w:val="24"/>
        </w:rPr>
        <w:t xml:space="preserve">The MiniMax team skill backgrounds parallel sub-agent researchers, polls them and synthesizes their results; the current research loop is single-agent at every level. This is recorded as a possible future direction rather than a near-term recommendation, since it changes the runtime model of the tier loop rather than its prompt contract.</w:t>
      </w:r>
    </w:p>
    <w:p>
      <w:pPr>
        <w:pStyle w:val="Heading1"/>
        <w:spacing w:after="200" w:before="420" w:line="312"/>
      </w:pPr>
      <w:bookmarkStart w:id="100018" w:name="_Toc100018"/>
      <w:r>
        <w:rPr>
          <w:rFonts w:ascii="Arial" w:eastAsia="SimHei"/>
          <w:b/>
          <w:bCs/>
          <w:color w:val="0A1628"/>
          <w:sz w:val="32"/>
          <w:szCs w:val="32"/>
        </w:rPr>
        <w:t xml:space="preserve">7. Conclusions and Reconciliation Recommendations</w:t>
      </w:r>
      <w:bookmarkEnd w:id="100018"/>
    </w:p>
    <w:p>
      <w:pPr>
        <w:spacing w:after="160" w:line="312"/>
        <w:jc w:val="both"/>
      </w:pPr>
      <w:r>
        <w:rPr>
          <w:rFonts w:ascii="Times New Roman" w:eastAsia="SimSun"/>
          <w:b w:val="false"/>
          <w:bCs w:val="false"/>
          <w:i w:val="false"/>
          <w:iCs w:val="false"/>
          <w:color w:val="1A2B40"/>
          <w:sz w:val="24"/>
          <w:szCs w:val="24"/>
        </w:rPr>
        <w:t xml:space="preserve">The verdict of the comparison can be captured in one sentence: v9.13 implemented the products, and the uploaded files specify the professions. The budgets, transparency, agentic mechanics and report shapes built from public knowledge all remain valid; what the files add is step discipline, governance and output contracts. The recommendations below translate the findings into per-tier change lists, ordered by effort and sized to existing machinery. None of them has been implemented; they are proposed for approval, and each tier can be executed independently, with the Normal tier as the smallest change and the Advanced tier as the largest because of the visualization and report-engineering additions.</w:t>
      </w:r>
    </w:p>
    <w:p>
      <w:pPr>
        <w:pStyle w:val="Heading2"/>
        <w:spacing w:after="140" w:before="280" w:line="312"/>
      </w:pPr>
      <w:bookmarkStart w:id="100019" w:name="_Toc100019"/>
      <w:r>
        <w:rPr>
          <w:rFonts w:ascii="Arial" w:eastAsia="SimHei"/>
          <w:b/>
          <w:bCs/>
          <w:color w:val="0A1628"/>
          <w:sz w:val="26"/>
          <w:szCs w:val="26"/>
        </w:rPr>
        <w:t xml:space="preserve">7.1 Normal tier — MiniMax</w:t>
      </w:r>
      <w:bookmarkEnd w:id="100019"/>
    </w:p>
    <w:p>
      <w:pPr>
        <w:pStyle w:val="ListParagraph"/>
        <w:numPr>
          <w:ilvl w:val="0"/>
          <w:numId w:val="2"/>
        </w:numPr>
        <w:spacing w:after="120" w:line="312"/>
        <w:jc w:val="left"/>
      </w:pPr>
      <w:r>
        <w:rPr>
          <w:rFonts w:ascii="Times New Roman" w:eastAsia="SimSun"/>
          <w:b/>
          <w:bCs/>
          <w:color w:val="1A2B40"/>
          <w:sz w:val="24"/>
          <w:szCs w:val="24"/>
        </w:rPr>
        <w:t xml:space="preserve">Re-sequence the five turns into the five steps. </w:t>
      </w:r>
      <w:r>
        <w:rPr>
          <w:rFonts w:ascii="Times New Roman" w:eastAsia="SimSun"/>
          <w:color w:val="1A2B40"/>
          <w:sz w:val="24"/>
          <w:szCs w:val="24"/>
        </w:rPr>
        <w:t xml:space="preserve">Turn one confirms background with one broad search; turn two states the direction of investigation; turn three emits a brief three-to-five-point research plan rendered in the trail; turn four executes the plan with at least one verification check; turn five writes the final answer. The existing 5-turn and 18-tool budget is retained.</w:t>
      </w:r>
    </w:p>
    <w:p>
      <w:pPr>
        <w:pStyle w:val="ListParagraph"/>
        <w:numPr>
          <w:ilvl w:val="0"/>
          <w:numId w:val="2"/>
        </w:numPr>
        <w:spacing w:after="120" w:line="312"/>
        <w:jc w:val="left"/>
      </w:pPr>
      <w:r>
        <w:rPr>
          <w:rFonts w:ascii="Times New Roman" w:eastAsia="SimSun"/>
          <w:b/>
          <w:bCs/>
          <w:color w:val="1A2B40"/>
          <w:sz w:val="24"/>
          <w:szCs w:val="24"/>
        </w:rPr>
        <w:t xml:space="preserve">Add a lightweight verification gate. </w:t>
      </w:r>
      <w:r>
        <w:rPr>
          <w:rFonts w:ascii="Times New Roman" w:eastAsia="SimSun"/>
          <w:color w:val="1A2B40"/>
          <w:sz w:val="24"/>
          <w:szCs w:val="24"/>
        </w:rPr>
        <w:t xml:space="preserve">At least one load-bearing claim must be checked against an independent source before the final answer is written, matching the file's Step 4 verification and the environment's verification-gate principle.</w:t>
      </w:r>
    </w:p>
    <w:p>
      <w:pPr>
        <w:pStyle w:val="ListParagraph"/>
        <w:numPr>
          <w:ilvl w:val="0"/>
          <w:numId w:val="2"/>
        </w:numPr>
        <w:spacing w:after="120" w:line="312"/>
        <w:jc w:val="left"/>
      </w:pPr>
      <w:r>
        <w:rPr>
          <w:rFonts w:ascii="Times New Roman" w:eastAsia="SimSun"/>
          <w:b/>
          <w:bCs/>
          <w:color w:val="1A2B40"/>
          <w:sz w:val="24"/>
          <w:szCs w:val="24"/>
        </w:rPr>
        <w:t xml:space="preserve">Add scope gating. </w:t>
      </w:r>
      <w:r>
        <w:rPr>
          <w:rFonts w:ascii="Times New Roman" w:eastAsia="SimSun"/>
          <w:color w:val="1A2B40"/>
          <w:sz w:val="24"/>
          <w:szCs w:val="24"/>
        </w:rPr>
        <w:t xml:space="preserve">Trivial single-fact questions and real-time data questions should skip the pipeline and route to a single direct search, exactly as the file's when-not-to-use rules prescribe; the tier should state this routing in its answer.</w:t>
      </w:r>
    </w:p>
    <w:p>
      <w:pPr>
        <w:pStyle w:val="ListParagraph"/>
        <w:numPr>
          <w:ilvl w:val="0"/>
          <w:numId w:val="2"/>
        </w:numPr>
        <w:spacing w:after="120" w:line="312"/>
        <w:jc w:val="left"/>
      </w:pPr>
      <w:r>
        <w:rPr>
          <w:rFonts w:ascii="Times New Roman" w:eastAsia="SimSun"/>
          <w:b/>
          <w:bCs/>
          <w:color w:val="1A2B40"/>
          <w:sz w:val="24"/>
          <w:szCs w:val="24"/>
        </w:rPr>
        <w:t xml:space="preserve">Keep the speed contract. </w:t>
      </w:r>
      <w:r>
        <w:rPr>
          <w:rFonts w:ascii="Times New Roman" w:eastAsia="SimSun"/>
          <w:color w:val="1A2B40"/>
          <w:sz w:val="24"/>
          <w:szCs w:val="24"/>
        </w:rPr>
        <w:t xml:space="preserve">The five-step trace must complete within the current budget; the change is procedural ordering, not added depth. Normal remains the fast tier.</w:t>
      </w:r>
    </w:p>
    <w:p>
      <w:pPr>
        <w:pStyle w:val="ListParagraph"/>
        <w:numPr>
          <w:ilvl w:val="0"/>
          <w:numId w:val="2"/>
        </w:numPr>
        <w:spacing w:after="120" w:line="312"/>
        <w:jc w:val="left"/>
      </w:pPr>
      <w:r>
        <w:rPr>
          <w:rFonts w:ascii="Times New Roman" w:eastAsia="SimSun"/>
          <w:b/>
          <w:bCs/>
          <w:color w:val="1A2B40"/>
          <w:sz w:val="24"/>
          <w:szCs w:val="24"/>
        </w:rPr>
        <w:t xml:space="preserve">Optionally write the final answer as a file. </w:t>
      </w:r>
      <w:r>
        <w:rPr>
          <w:rFonts w:ascii="Times New Roman" w:eastAsia="SimSun"/>
          <w:color w:val="1A2B40"/>
          <w:sz w:val="24"/>
          <w:szCs w:val="24"/>
        </w:rPr>
        <w:t xml:space="preserve">When the report exceeds a threshold, offer a Markdown download alongside the chat message, echoing the file's Step 5 final-answer file.</w:t>
      </w:r>
    </w:p>
    <w:p>
      <w:pPr>
        <w:pStyle w:val="Heading2"/>
        <w:spacing w:after="140" w:before="280" w:line="312"/>
      </w:pPr>
      <w:bookmarkStart w:id="100020" w:name="_Toc100020"/>
      <w:r>
        <w:rPr>
          <w:rFonts w:ascii="Arial" w:eastAsia="SimHei"/>
          <w:b/>
          <w:bCs/>
          <w:color w:val="0A1628"/>
          <w:sz w:val="26"/>
          <w:szCs w:val="26"/>
        </w:rPr>
        <w:t xml:space="preserve">7.2 Advanced tier — Kimi</w:t>
      </w:r>
      <w:bookmarkEnd w:id="100020"/>
    </w:p>
    <w:p>
      <w:pPr>
        <w:pStyle w:val="ListParagraph"/>
        <w:numPr>
          <w:ilvl w:val="0"/>
          <w:numId w:val="3"/>
        </w:numPr>
        <w:spacing w:after="120" w:line="312"/>
        <w:jc w:val="left"/>
      </w:pPr>
      <w:r>
        <w:rPr>
          <w:rFonts w:ascii="Times New Roman" w:eastAsia="SimSun"/>
          <w:b/>
          <w:bCs/>
          <w:color w:val="1A2B40"/>
          <w:sz w:val="24"/>
          <w:szCs w:val="24"/>
        </w:rPr>
        <w:t xml:space="preserve">Insert an intent-clarification step. </w:t>
      </w:r>
      <w:r>
        <w:rPr>
          <w:rFonts w:ascii="Times New Roman" w:eastAsia="SimSun"/>
          <w:color w:val="1A2B40"/>
          <w:sz w:val="24"/>
          <w:szCs w:val="24"/>
        </w:rPr>
        <w:t xml:space="preserve">Before any searching, the engine asks one or two targeted questions about scope, time range and source preference, with an explicit skip control for full-scope research — mirroring both the file's ask-user step and the official product's clarification node.</w:t>
      </w:r>
    </w:p>
    <w:p>
      <w:pPr>
        <w:pStyle w:val="ListParagraph"/>
        <w:numPr>
          <w:ilvl w:val="0"/>
          <w:numId w:val="3"/>
        </w:numPr>
        <w:spacing w:after="120" w:line="312"/>
        <w:jc w:val="left"/>
      </w:pPr>
      <w:r>
        <w:rPr>
          <w:rFonts w:ascii="Times New Roman" w:eastAsia="SimSun"/>
          <w:b/>
          <w:bCs/>
          <w:color w:val="1A2B40"/>
          <w:sz w:val="24"/>
          <w:szCs w:val="24"/>
        </w:rPr>
        <w:t xml:space="preserve">Emit a Thinking plus Summary pair each round. </w:t>
      </w:r>
      <w:r>
        <w:rPr>
          <w:rFonts w:ascii="Times New Roman" w:eastAsia="SimSun"/>
          <w:color w:val="1A2B40"/>
          <w:sz w:val="24"/>
          <w:szCs w:val="24"/>
        </w:rPr>
        <w:t xml:space="preserve">After every search round, the trail should show a short reflection — what was learned, what is missing, the next step — followed by a one-line recap, matching the file's recursive-reflection rule.</w:t>
      </w:r>
    </w:p>
    <w:p>
      <w:pPr>
        <w:pStyle w:val="ListParagraph"/>
        <w:numPr>
          <w:ilvl w:val="0"/>
          <w:numId w:val="3"/>
        </w:numPr>
        <w:spacing w:after="120" w:line="312"/>
        <w:jc w:val="left"/>
      </w:pPr>
      <w:r>
        <w:rPr>
          <w:rFonts w:ascii="Times New Roman" w:eastAsia="SimSun"/>
          <w:b/>
          <w:bCs/>
          <w:color w:val="1A2B40"/>
          <w:sz w:val="24"/>
          <w:szCs w:val="24"/>
        </w:rPr>
        <w:t xml:space="preserve">Wire quantitative analysis into the loop. </w:t>
      </w:r>
      <w:r>
        <w:rPr>
          <w:rFonts w:ascii="Times New Roman" w:eastAsia="SimSun"/>
          <w:color w:val="1A2B40"/>
          <w:sz w:val="24"/>
          <w:szCs w:val="24"/>
        </w:rPr>
        <w:t xml:space="preserve">Route numeric questions through the existing CALC directive as an explicit research stage, as the file's Python step requires.</w:t>
      </w:r>
    </w:p>
    <w:p>
      <w:pPr>
        <w:pStyle w:val="ListParagraph"/>
        <w:numPr>
          <w:ilvl w:val="0"/>
          <w:numId w:val="3"/>
        </w:numPr>
        <w:spacing w:after="120" w:line="312"/>
        <w:jc w:val="left"/>
      </w:pPr>
      <w:r>
        <w:rPr>
          <w:rFonts w:ascii="Times New Roman" w:eastAsia="SimSun"/>
          <w:b/>
          <w:bCs/>
          <w:color w:val="1A2B40"/>
          <w:sz w:val="24"/>
          <w:szCs w:val="24"/>
        </w:rPr>
        <w:t xml:space="preserve">Generate visualizations in the final report. </w:t>
      </w:r>
      <w:r>
        <w:rPr>
          <w:rFonts w:ascii="Times New Roman" w:eastAsia="SimSun"/>
          <w:color w:val="1A2B40"/>
          <w:sz w:val="24"/>
          <w:szCs w:val="24"/>
        </w:rPr>
        <w:t xml:space="preserve">Use the existing chart-studio pipeline to embed one or two charts — data-driven for numbers, conceptual for frameworks — inside the answer, with the never-fabricate-values rule stated in the prompt.</w:t>
      </w:r>
    </w:p>
    <w:p>
      <w:pPr>
        <w:pStyle w:val="ListParagraph"/>
        <w:numPr>
          <w:ilvl w:val="0"/>
          <w:numId w:val="3"/>
        </w:numPr>
        <w:spacing w:after="120" w:line="312"/>
        <w:jc w:val="left"/>
      </w:pPr>
      <w:r>
        <w:rPr>
          <w:rFonts w:ascii="Times New Roman" w:eastAsia="SimSun"/>
          <w:b/>
          <w:bCs/>
          <w:color w:val="1A2B40"/>
          <w:sz w:val="24"/>
          <w:szCs w:val="24"/>
        </w:rPr>
        <w:t xml:space="preserve">Enforce the report-engineering contract. </w:t>
      </w:r>
      <w:r>
        <w:rPr>
          <w:rFonts w:ascii="Times New Roman" w:eastAsia="SimSun"/>
          <w:color w:val="1A2B40"/>
          <w:sz w:val="24"/>
          <w:szCs w:val="24"/>
        </w:rPr>
        <w:t xml:space="preserve">A conditional direct answer when the question admits one; paragraph depth of one hundred words or more; tables as the primary comparison structure; key findings bolded sparingly; natural transitions without enumerated filler.</w:t>
      </w:r>
    </w:p>
    <w:p>
      <w:pPr>
        <w:pStyle w:val="ListParagraph"/>
        <w:numPr>
          <w:ilvl w:val="0"/>
          <w:numId w:val="3"/>
        </w:numPr>
        <w:spacing w:after="120" w:line="312"/>
        <w:jc w:val="left"/>
      </w:pPr>
      <w:r>
        <w:rPr>
          <w:rFonts w:ascii="Times New Roman" w:eastAsia="SimSun"/>
          <w:b/>
          <w:bCs/>
          <w:color w:val="1A2B40"/>
          <w:sz w:val="24"/>
          <w:szCs w:val="24"/>
        </w:rPr>
        <w:t xml:space="preserve">Switch to inline citations and add the disclaimer. </w:t>
      </w:r>
      <w:r>
        <w:rPr>
          <w:rFonts w:ascii="Times New Roman" w:eastAsia="SimSun"/>
          <w:color w:val="1A2B40"/>
          <w:sz w:val="24"/>
          <w:szCs w:val="24"/>
        </w:rPr>
        <w:t xml:space="preserve">Cite as inline source links in the v2 style, drop the end-of-report source list, and close medical, legal and financial answers with the general-information disclaimer.</w:t>
      </w:r>
    </w:p>
    <w:p>
      <w:pPr>
        <w:pStyle w:val="Heading2"/>
        <w:spacing w:after="140" w:before="280" w:line="312"/>
      </w:pPr>
      <w:bookmarkStart w:id="100021" w:name="_Toc100021"/>
      <w:r>
        <w:rPr>
          <w:rFonts w:ascii="Arial" w:eastAsia="SimHei"/>
          <w:b/>
          <w:bCs/>
          <w:color w:val="0A1628"/>
          <w:sz w:val="26"/>
          <w:szCs w:val="26"/>
        </w:rPr>
        <w:t xml:space="preserve">7.3 Ultra tier — GPT</w:t>
      </w:r>
      <w:bookmarkEnd w:id="100021"/>
    </w:p>
    <w:p>
      <w:pPr>
        <w:pStyle w:val="ListParagraph"/>
        <w:numPr>
          <w:ilvl w:val="0"/>
          <w:numId w:val="4"/>
        </w:numPr>
        <w:spacing w:after="120" w:line="312"/>
        <w:jc w:val="left"/>
      </w:pPr>
      <w:r>
        <w:rPr>
          <w:rFonts w:ascii="Times New Roman" w:eastAsia="SimSun"/>
          <w:b/>
          <w:bCs/>
          <w:color w:val="1A2B40"/>
          <w:sz w:val="24"/>
          <w:szCs w:val="24"/>
        </w:rPr>
        <w:t xml:space="preserve">Persist a Research Plan card. </w:t>
      </w:r>
      <w:r>
        <w:rPr>
          <w:rFonts w:ascii="Times New Roman" w:eastAsia="SimSun"/>
          <w:color w:val="1A2B40"/>
          <w:sz w:val="24"/>
          <w:szCs w:val="24"/>
        </w:rPr>
        <w:t xml:space="preserve">At the start of the run, render and keep a card holding the question, background, objectives, sub-questions, inclusion and exclusion criteria, and planned source types — the document's Step 1 artifact.</w:t>
      </w:r>
    </w:p>
    <w:p>
      <w:pPr>
        <w:pStyle w:val="ListParagraph"/>
        <w:numPr>
          <w:ilvl w:val="0"/>
          <w:numId w:val="4"/>
        </w:numPr>
        <w:spacing w:after="120" w:line="312"/>
        <w:jc w:val="left"/>
      </w:pPr>
      <w:r>
        <w:rPr>
          <w:rFonts w:ascii="Times New Roman" w:eastAsia="SimSun"/>
          <w:b/>
          <w:bCs/>
          <w:color w:val="1A2B40"/>
          <w:sz w:val="24"/>
          <w:szCs w:val="24"/>
        </w:rPr>
        <w:t xml:space="preserve">Add source-credibility rules. </w:t>
      </w:r>
      <w:r>
        <w:rPr>
          <w:rFonts w:ascii="Times New Roman" w:eastAsia="SimSun"/>
          <w:color w:val="1A2B40"/>
          <w:sz w:val="24"/>
          <w:szCs w:val="24"/>
        </w:rPr>
        <w:t xml:space="preserve">Instruct the engine to rank primary, official and peer-reviewed sources above secondary content, to report conflicts instead of silently resolving them, and to name the stronger methodology when sources disagree.</w:t>
      </w:r>
    </w:p>
    <w:p>
      <w:pPr>
        <w:pStyle w:val="ListParagraph"/>
        <w:numPr>
          <w:ilvl w:val="0"/>
          <w:numId w:val="4"/>
        </w:numPr>
        <w:spacing w:after="120" w:line="312"/>
        <w:jc w:val="left"/>
      </w:pPr>
      <w:r>
        <w:rPr>
          <w:rFonts w:ascii="Times New Roman" w:eastAsia="SimSun"/>
          <w:b/>
          <w:bCs/>
          <w:color w:val="1A2B40"/>
          <w:sz w:val="24"/>
          <w:szCs w:val="24"/>
        </w:rPr>
        <w:t xml:space="preserve">Enforce conservative synthesis. </w:t>
      </w:r>
      <w:r>
        <w:rPr>
          <w:rFonts w:ascii="Times New Roman" w:eastAsia="SimSun"/>
          <w:color w:val="1A2B40"/>
          <w:sz w:val="24"/>
          <w:szCs w:val="24"/>
        </w:rPr>
        <w:t xml:space="preserve">Key conclusions must carry explicit confidence language, uncertainty must be marked where evidence is thin or mixed, and no claim may be stated more strongly than its sources support.</w:t>
      </w:r>
    </w:p>
    <w:p>
      <w:pPr>
        <w:pStyle w:val="ListParagraph"/>
        <w:numPr>
          <w:ilvl w:val="0"/>
          <w:numId w:val="4"/>
        </w:numPr>
        <w:spacing w:after="120" w:line="312"/>
        <w:jc w:val="left"/>
      </w:pPr>
      <w:r>
        <w:rPr>
          <w:rFonts w:ascii="Times New Roman" w:eastAsia="SimSun"/>
          <w:b/>
          <w:bCs/>
          <w:color w:val="1A2B40"/>
          <w:sz w:val="24"/>
          <w:szCs w:val="24"/>
        </w:rPr>
        <w:t xml:space="preserve">Formalize the final validation pass. </w:t>
      </w:r>
      <w:r>
        <w:rPr>
          <w:rFonts w:ascii="Times New Roman" w:eastAsia="SimSun"/>
          <w:color w:val="1A2B40"/>
          <w:sz w:val="24"/>
          <w:szCs w:val="24"/>
        </w:rPr>
        <w:t xml:space="preserve">Before the answer is written, the engine must spot-check its load-bearing citations — the VERIFY directive already provides the mechanism — and state in the report which claims were checked.</w:t>
      </w:r>
    </w:p>
    <w:p>
      <w:pPr>
        <w:pStyle w:val="ListParagraph"/>
        <w:numPr>
          <w:ilvl w:val="0"/>
          <w:numId w:val="4"/>
        </w:numPr>
        <w:spacing w:after="120" w:line="312"/>
        <w:jc w:val="left"/>
      </w:pPr>
      <w:r>
        <w:rPr>
          <w:rFonts w:ascii="Times New Roman" w:eastAsia="SimSun"/>
          <w:b/>
          <w:bCs/>
          <w:color w:val="1A2B40"/>
          <w:sz w:val="24"/>
          <w:szCs w:val="24"/>
        </w:rPr>
        <w:t xml:space="preserve">Surface the reproducibility trail. </w:t>
      </w:r>
      <w:r>
        <w:rPr>
          <w:rFonts w:ascii="Times New Roman" w:eastAsia="SimSun"/>
          <w:color w:val="1A2B40"/>
          <w:sz w:val="24"/>
          <w:szCs w:val="24"/>
        </w:rPr>
        <w:t xml:space="preserve">The sources panel already logs queries and URLs; render them as a dated research log block at the end of the report, fulfilling the document's query-log and archiving intent.</w:t>
      </w:r>
    </w:p>
    <w:p>
      <w:pPr>
        <w:pStyle w:val="Heading2"/>
        <w:spacing w:after="140" w:before="280" w:line="312"/>
      </w:pPr>
      <w:bookmarkStart w:id="100022" w:name="_Toc100022"/>
      <w:r>
        <w:rPr>
          <w:rFonts w:ascii="Arial" w:eastAsia="SimHei"/>
          <w:b/>
          <w:bCs/>
          <w:color w:val="0A1628"/>
          <w:sz w:val="26"/>
          <w:szCs w:val="26"/>
        </w:rPr>
        <w:t xml:space="preserve">7.4 Cross-tier infrastructure</w:t>
      </w:r>
      <w:bookmarkEnd w:id="100022"/>
    </w:p>
    <w:p>
      <w:pPr>
        <w:pStyle w:val="ListParagraph"/>
        <w:numPr>
          <w:ilvl w:val="0"/>
          <w:numId w:val="5"/>
        </w:numPr>
        <w:spacing w:after="120" w:line="312"/>
        <w:jc w:val="left"/>
      </w:pPr>
      <w:r>
        <w:rPr>
          <w:rFonts w:ascii="Times New Roman" w:eastAsia="SimSun"/>
          <w:b/>
          <w:bCs/>
          <w:color w:val="1A2B40"/>
          <w:sz w:val="24"/>
          <w:szCs w:val="24"/>
        </w:rPr>
        <w:t xml:space="preserve">Build the clarification step once. </w:t>
      </w:r>
      <w:r>
        <w:rPr>
          <w:rFonts w:ascii="Times New Roman" w:eastAsia="SimSun"/>
          <w:color w:val="1A2B40"/>
          <w:sz w:val="24"/>
          <w:szCs w:val="24"/>
        </w:rPr>
        <w:t xml:space="preserve">A shared component with per-tier depth — a single confirming question at Normal, a clarifying dialog at Advanced, criteria confirmation at Ultra.</w:t>
      </w:r>
    </w:p>
    <w:p>
      <w:pPr>
        <w:pStyle w:val="ListParagraph"/>
        <w:numPr>
          <w:ilvl w:val="0"/>
          <w:numId w:val="5"/>
        </w:numPr>
        <w:spacing w:after="120" w:line="312"/>
        <w:jc w:val="left"/>
      </w:pPr>
      <w:r>
        <w:rPr>
          <w:rFonts w:ascii="Times New Roman" w:eastAsia="SimSun"/>
          <w:b/>
          <w:bCs/>
          <w:color w:val="1A2B40"/>
          <w:sz w:val="24"/>
          <w:szCs w:val="24"/>
        </w:rPr>
        <w:t xml:space="preserve">Share the safety layer. </w:t>
      </w:r>
      <w:r>
        <w:rPr>
          <w:rFonts w:ascii="Times New Roman" w:eastAsia="SimSun"/>
          <w:color w:val="1A2B40"/>
          <w:sz w:val="24"/>
          <w:szCs w:val="24"/>
        </w:rPr>
        <w:t xml:space="preserve">Uncertainty marking and the high-stakes disclaimer as shared utilities used by all tiers.</w:t>
      </w:r>
    </w:p>
    <w:p>
      <w:pPr>
        <w:pStyle w:val="ListParagraph"/>
        <w:numPr>
          <w:ilvl w:val="0"/>
          <w:numId w:val="5"/>
        </w:numPr>
        <w:spacing w:after="120" w:line="312"/>
        <w:jc w:val="left"/>
      </w:pPr>
      <w:r>
        <w:rPr>
          <w:rFonts w:ascii="Times New Roman" w:eastAsia="SimSun"/>
          <w:b/>
          <w:bCs/>
          <w:color w:val="1A2B40"/>
          <w:sz w:val="24"/>
          <w:szCs w:val="24"/>
        </w:rPr>
        <w:t xml:space="preserve">Unify the deliverable. </w:t>
      </w:r>
      <w:r>
        <w:rPr>
          <w:rFonts w:ascii="Times New Roman" w:eastAsia="SimSun"/>
          <w:color w:val="1A2B40"/>
          <w:sz w:val="24"/>
          <w:szCs w:val="24"/>
        </w:rPr>
        <w:t xml:space="preserve">Offer a Markdown file export on every research answer, consistent with the file-first output expectations of all three sources.</w:t>
      </w:r>
    </w:p>
    <w:p>
      <w:pPr>
        <w:spacing w:after="160" w:line="312"/>
        <w:jc w:val="both"/>
      </w:pPr>
      <w:r>
        <w:rPr>
          <w:rFonts w:ascii="Times New Roman" w:eastAsia="SimSun"/>
          <w:b w:val="false"/>
          <w:bCs w:val="false"/>
          <w:i w:val="false"/>
          <w:iCs w:val="false"/>
          <w:color w:val="1A2B40"/>
          <w:sz w:val="24"/>
          <w:szCs w:val="24"/>
        </w:rPr>
        <w:t xml:space="preserve">Taken together, the three change lists move each tier from an internet-informed approximation to a file-faithful implementation while preserving the shared loop, interface and budgets that already work. The recommended execution order is Normal first, then Ultra — whose changes are mostly prompt-contract work on an already deep tier — and Advanced last, since its visualization and report-engineering additions touch the rendering pipeline as well as the prompt. Upon approval, each list can be implemented and verified independently against the same standard used for v9.13: zero console errors, live end-to-end runs at every level, and byte-verified publication to the repository.</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A94A6"/>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A94A6"/>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SimSun"/>
        <w:color w:val="8A94A6"/>
        <w:sz w:val="15"/>
        <w:szCs w:val="15"/>
      </w:rPr>
      <w:t xml:space="preserve">Research Engine Comparison — MiniMax / Kimi / GPT Deep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40" w:hanging="360"/>
      </w:pPr>
    </w:lvl>
  </w:abstractNum>
  <w:abstractNum w:abstractNumId="3" w15:restartNumberingAfterBreak="0">
    <w:multiLevelType w:val="hybridMultilevel"/>
    <w:lvl w:ilvl="0" w15:tentative="1">
      <w:start w:val="1"/>
      <w:numFmt w:val="decimal"/>
      <w:lvlText w:val="%1."/>
      <w:lvlJc w:val="left"/>
      <w:pPr>
        <w:ind w:left="640" w:hanging="360"/>
      </w:pPr>
    </w:lvl>
  </w:abstractNum>
  <w:abstractNum w:abstractNumId="4" w15:restartNumberingAfterBreak="0">
    <w:multiLevelType w:val="hybridMultilevel"/>
    <w:lvl w:ilvl="0" w15:tentative="1">
      <w:start w:val="1"/>
      <w:numFmt w:val="decimal"/>
      <w:lvlText w:val="%1."/>
      <w:lvlJc w:val="left"/>
      <w:pPr>
        <w:ind w:left="640" w:hanging="360"/>
      </w:pPr>
    </w:lvl>
  </w:abstractNum>
  <w:abstractNum w:abstractNumId="5" w15:restartNumberingAfterBreak="0">
    <w:multiLevelType w:val="hybridMultilevel"/>
    <w:lvl w:ilvl="0" w15:tentative="1">
      <w:start w:val="1"/>
      <w:numFmt w:val="decimal"/>
      <w:lvlText w:val="%1."/>
      <w:lvlJc w:val="left"/>
      <w:pPr>
        <w:ind w:left="6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20" w:line="312"/>
      <w:outlineLvl w:val="0"/>
    </w:pPr>
    <w:rPr>
      <w:rFonts w:ascii="Arial" w:eastAsia="SimHei"/>
      <w:b/>
      <w:bCs/>
      <w:color w:val="0A1628"/>
      <w:sz w:val="32"/>
      <w:szCs w:val="32"/>
    </w:rPr>
  </w:style>
  <w:style w:type="paragraph" w:styleId="Heading2">
    <w:name w:val="Heading 2"/>
    <w:basedOn w:val="Normal"/>
    <w:next w:val="Normal"/>
    <w:qFormat/>
    <w:pPr>
      <w:spacing w:after="140" w:before="280" w:line="312"/>
      <w:outlineLvl w:val="1"/>
    </w:pPr>
    <w:rPr>
      <w:rFonts w:ascii="Arial" w:eastAsia="SimHei"/>
      <w:b/>
      <w:bCs/>
      <w:color w:val="0A1628"/>
      <w:sz w:val="26"/>
      <w:szCs w:val="26"/>
    </w:rPr>
  </w:style>
  <w:style w:type="paragraph" w:styleId="Heading3">
    <w:name w:val="Heading 3"/>
    <w:basedOn w:val="Normal"/>
    <w:next w:val="Normal"/>
    <w:qFormat/>
    <w:pPr>
      <w:spacing w:after="110" w:before="220" w:line="312"/>
      <w:outlineLvl w:val="2"/>
    </w:pPr>
    <w:rPr>
      <w:rFonts w:ascii="Arial" w:eastAsia="SimHei"/>
      <w:b/>
      <w:bCs/>
      <w:color w:val="0A162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Engine Comparison — MiniMax vs Kimi vs GPT Deep Research</dc:title>
  <dc:creator>Manthan Agent</dc:creator>
  <dc:description>Internet knowledge vs uploaded skill files — pre-implementation reconciliation</dc:description>
  <cp:lastModifiedBy>Un-named</cp:lastModifiedBy>
  <cp:revision>1</cp:revision>
  <dcterms:created xsi:type="dcterms:W3CDTF">2026-09-26T05:22:31.011Z</dcterms:created>
  <dcterms:modified xsi:type="dcterms:W3CDTF">2026-09-26T05:22:31.011Z</dcterms:modified>
</cp:coreProperties>
</file>

<file path=docProps/custom.xml><?xml version="1.0" encoding="utf-8"?>
<Properties xmlns="http://schemas.openxmlformats.org/officeDocument/2006/custom-properties" xmlns:vt="http://schemas.openxmlformats.org/officeDocument/2006/docPropsVTypes"/>
</file>