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531C" w14:textId="69EF3E98" w:rsidR="00B96FA2" w:rsidRPr="00A53846" w:rsidRDefault="00000000" w:rsidP="00A53846">
      <w:pPr>
        <w:spacing w:after="40"/>
        <w:rPr>
          <w:color w:val="000000" w:themeColor="text1"/>
        </w:rPr>
      </w:pPr>
      <w:proofErr w:type="spellStart"/>
      <w:r w:rsidRPr="00A53846">
        <w:rPr>
          <w:b/>
          <w:color w:val="000000" w:themeColor="text1"/>
          <w:sz w:val="36"/>
        </w:rPr>
        <w:t>IntervieHire</w:t>
      </w:r>
      <w:proofErr w:type="spellEnd"/>
      <w:r w:rsidRPr="00A53846">
        <w:rPr>
          <w:b/>
          <w:color w:val="000000" w:themeColor="text1"/>
          <w:sz w:val="36"/>
        </w:rPr>
        <w:t xml:space="preserve"> — Data Protection &amp; Compliance Brief (India)</w:t>
      </w:r>
    </w:p>
    <w:p w14:paraId="2E150023" w14:textId="77777777" w:rsidR="00B96FA2" w:rsidRPr="00A53846" w:rsidRDefault="00000000">
      <w:pPr>
        <w:pStyle w:val="Heading2"/>
        <w:rPr>
          <w:color w:val="000000" w:themeColor="text1"/>
        </w:rPr>
      </w:pPr>
      <w:r w:rsidRPr="00A53846">
        <w:rPr>
          <w:color w:val="000000" w:themeColor="text1"/>
        </w:rPr>
        <w:t>Executive summary</w:t>
      </w:r>
    </w:p>
    <w:p w14:paraId="76B31A93" w14:textId="77777777" w:rsidR="00B96FA2" w:rsidRPr="00A53846" w:rsidRDefault="00000000">
      <w:pPr>
        <w:spacing w:after="120"/>
        <w:rPr>
          <w:color w:val="000000" w:themeColor="text1"/>
        </w:rPr>
      </w:pPr>
      <w:r w:rsidRPr="00A53846">
        <w:rPr>
          <w:color w:val="000000" w:themeColor="text1"/>
        </w:rPr>
        <w:t xml:space="preserve">A review of IntervieHire against current Indian law — the </w:t>
      </w:r>
      <w:r w:rsidRPr="00A53846">
        <w:rPr>
          <w:b/>
          <w:color w:val="000000" w:themeColor="text1"/>
        </w:rPr>
        <w:t>Digital Personal Data Protection Act 2023 (DPDP)</w:t>
      </w:r>
      <w:r w:rsidRPr="00A53846">
        <w:rPr>
          <w:color w:val="000000" w:themeColor="text1"/>
        </w:rPr>
        <w:t xml:space="preserve"> and its </w:t>
      </w:r>
      <w:r w:rsidRPr="00A53846">
        <w:rPr>
          <w:b/>
          <w:color w:val="000000" w:themeColor="text1"/>
        </w:rPr>
        <w:t>2025 Rules</w:t>
      </w:r>
      <w:r w:rsidRPr="00A53846">
        <w:rPr>
          <w:color w:val="000000" w:themeColor="text1"/>
        </w:rPr>
        <w:t xml:space="preserve"> — finds that the platform is </w:t>
      </w:r>
      <w:r w:rsidRPr="00A53846">
        <w:rPr>
          <w:b/>
          <w:color w:val="000000" w:themeColor="text1"/>
        </w:rPr>
        <w:t>not yet compliant</w:t>
      </w:r>
      <w:r w:rsidRPr="00A53846">
        <w:rPr>
          <w:color w:val="000000" w:themeColor="text1"/>
        </w:rPr>
        <w:t xml:space="preserve">. Today it collects sensitive personal data, including candidates' </w:t>
      </w:r>
      <w:r w:rsidRPr="00A53846">
        <w:rPr>
          <w:b/>
          <w:color w:val="000000" w:themeColor="text1"/>
        </w:rPr>
        <w:t>facial, gaze and voice biometrics</w:t>
      </w:r>
      <w:r w:rsidRPr="00A53846">
        <w:rPr>
          <w:color w:val="000000" w:themeColor="text1"/>
        </w:rPr>
        <w:t xml:space="preserve">, with </w:t>
      </w:r>
      <w:r w:rsidRPr="00A53846">
        <w:rPr>
          <w:b/>
          <w:color w:val="000000" w:themeColor="text1"/>
        </w:rPr>
        <w:t>no informed consent and no privacy policy</w:t>
      </w:r>
      <w:r w:rsidRPr="00A53846">
        <w:rPr>
          <w:color w:val="000000" w:themeColor="text1"/>
        </w:rPr>
        <w:t xml:space="preserve">. All candidate data is also </w:t>
      </w:r>
      <w:r w:rsidRPr="00A53846">
        <w:rPr>
          <w:b/>
          <w:color w:val="000000" w:themeColor="text1"/>
        </w:rPr>
        <w:t>stored and processed outside India</w:t>
      </w:r>
      <w:r w:rsidRPr="00A53846">
        <w:rPr>
          <w:color w:val="000000" w:themeColor="text1"/>
        </w:rPr>
        <w:t xml:space="preserve">, and (until a planned change ships) some is routed to a </w:t>
      </w:r>
      <w:r w:rsidRPr="00A53846">
        <w:rPr>
          <w:b/>
          <w:color w:val="000000" w:themeColor="text1"/>
        </w:rPr>
        <w:t>China-based</w:t>
      </w:r>
      <w:r w:rsidRPr="00A53846">
        <w:rPr>
          <w:color w:val="000000" w:themeColor="text1"/>
        </w:rPr>
        <w:t xml:space="preserve"> AI provider.</w:t>
      </w:r>
    </w:p>
    <w:p w14:paraId="500F6DC4" w14:textId="77777777" w:rsidR="00B96FA2" w:rsidRPr="00A53846" w:rsidRDefault="00000000">
      <w:pPr>
        <w:spacing w:after="120"/>
        <w:rPr>
          <w:color w:val="000000" w:themeColor="text1"/>
        </w:rPr>
      </w:pPr>
      <w:r w:rsidRPr="00A53846">
        <w:rPr>
          <w:color w:val="000000" w:themeColor="text1"/>
        </w:rPr>
        <w:t xml:space="preserve">The core DPDP obligations become legally enforceable on </w:t>
      </w:r>
      <w:r w:rsidRPr="00A53846">
        <w:rPr>
          <w:b/>
          <w:color w:val="000000" w:themeColor="text1"/>
        </w:rPr>
        <w:t>13 May 2027</w:t>
      </w:r>
      <w:r w:rsidRPr="00A53846">
        <w:rPr>
          <w:color w:val="000000" w:themeColor="text1"/>
        </w:rPr>
        <w:t xml:space="preserve">, with penalties up to </w:t>
      </w:r>
      <w:r w:rsidRPr="00A53846">
        <w:rPr>
          <w:b/>
          <w:color w:val="000000" w:themeColor="text1"/>
        </w:rPr>
        <w:t>₹250 crore</w:t>
      </w:r>
      <w:r w:rsidRPr="00A53846">
        <w:rPr>
          <w:color w:val="000000" w:themeColor="text1"/>
        </w:rPr>
        <w:t xml:space="preserve">. None of the required building blocks — consent, privacy notice, data-deletion, grievance handling — exist yet. The engineering work is achievable in-house; what is needed from management is </w:t>
      </w:r>
      <w:r w:rsidRPr="00A53846">
        <w:rPr>
          <w:b/>
          <w:color w:val="000000" w:themeColor="text1"/>
        </w:rPr>
        <w:t>sign-off on a few decisions</w:t>
      </w:r>
      <w:r w:rsidRPr="00A53846">
        <w:rPr>
          <w:color w:val="000000" w:themeColor="text1"/>
        </w:rPr>
        <w:t xml:space="preserve"> and a </w:t>
      </w:r>
      <w:r w:rsidRPr="00A53846">
        <w:rPr>
          <w:b/>
          <w:color w:val="000000" w:themeColor="text1"/>
        </w:rPr>
        <w:t>modest budget for external legal review</w:t>
      </w:r>
      <w:r w:rsidRPr="00A53846">
        <w:rPr>
          <w:color w:val="000000" w:themeColor="text1"/>
        </w:rPr>
        <w:t>.</w:t>
      </w:r>
    </w:p>
    <w:p w14:paraId="7AF2D57C" w14:textId="77777777" w:rsidR="00B96FA2" w:rsidRPr="00A53846" w:rsidRDefault="00000000">
      <w:pPr>
        <w:spacing w:after="120"/>
        <w:rPr>
          <w:color w:val="000000" w:themeColor="text1"/>
        </w:rPr>
      </w:pPr>
      <w:r w:rsidRPr="00A53846">
        <w:rPr>
          <w:color w:val="000000" w:themeColor="text1"/>
        </w:rPr>
        <w:t>This brief summarises the findings and a phased plan to reach compliance before the deadline.</w:t>
      </w:r>
    </w:p>
    <w:p w14:paraId="50F4FBB8" w14:textId="77777777" w:rsidR="00B96FA2" w:rsidRPr="00A53846" w:rsidRDefault="00000000">
      <w:pPr>
        <w:pStyle w:val="Heading2"/>
        <w:rPr>
          <w:color w:val="000000" w:themeColor="text1"/>
        </w:rPr>
      </w:pPr>
      <w:r w:rsidRPr="00A53846">
        <w:rPr>
          <w:color w:val="000000" w:themeColor="text1"/>
        </w:rPr>
        <w:t>Why this matters now</w:t>
      </w:r>
    </w:p>
    <w:p w14:paraId="61699D7B" w14:textId="77777777" w:rsidR="00B96FA2" w:rsidRPr="00A53846" w:rsidRDefault="00000000">
      <w:pPr>
        <w:pStyle w:val="ListBullet"/>
        <w:spacing w:after="60"/>
        <w:rPr>
          <w:color w:val="000000" w:themeColor="text1"/>
        </w:rPr>
      </w:pPr>
      <w:r w:rsidRPr="00A53846">
        <w:rPr>
          <w:b/>
          <w:color w:val="000000" w:themeColor="text1"/>
        </w:rPr>
        <w:t>Hard deadline — 13 May 2027.</w:t>
      </w:r>
      <w:r w:rsidRPr="00A53846">
        <w:rPr>
          <w:color w:val="000000" w:themeColor="text1"/>
        </w:rPr>
        <w:t xml:space="preserve"> DPDP's consent, notice, security and data-rights obligations become enforceable; the older interim rules fall away the same day. Consent flows, deletion endpoints and vendor contracts take months and depend on each other, so the build window is now.</w:t>
      </w:r>
    </w:p>
    <w:p w14:paraId="2BCB5725" w14:textId="77777777" w:rsidR="00B96FA2" w:rsidRPr="00A53846" w:rsidRDefault="00000000">
      <w:pPr>
        <w:pStyle w:val="ListBullet"/>
        <w:spacing w:after="60"/>
        <w:rPr>
          <w:color w:val="000000" w:themeColor="text1"/>
        </w:rPr>
      </w:pPr>
      <w:r w:rsidRPr="00A53846">
        <w:rPr>
          <w:b/>
          <w:color w:val="000000" w:themeColor="text1"/>
        </w:rPr>
        <w:t>Penalty exposure.</w:t>
      </w:r>
      <w:r w:rsidRPr="00A53846">
        <w:rPr>
          <w:color w:val="000000" w:themeColor="text1"/>
        </w:rPr>
        <w:t xml:space="preserve"> Up to </w:t>
      </w:r>
      <w:r w:rsidRPr="00A53846">
        <w:rPr>
          <w:b/>
          <w:color w:val="000000" w:themeColor="text1"/>
        </w:rPr>
        <w:t>₹250 cr</w:t>
      </w:r>
      <w:r w:rsidRPr="00A53846">
        <w:rPr>
          <w:color w:val="000000" w:themeColor="text1"/>
        </w:rPr>
        <w:t xml:space="preserve"> (failure of security safeguards), </w:t>
      </w:r>
      <w:r w:rsidRPr="00A53846">
        <w:rPr>
          <w:b/>
          <w:color w:val="000000" w:themeColor="text1"/>
        </w:rPr>
        <w:t>₹200 cr</w:t>
      </w:r>
      <w:r w:rsidRPr="00A53846">
        <w:rPr>
          <w:color w:val="000000" w:themeColor="text1"/>
        </w:rPr>
        <w:t xml:space="preserve"> (failure to report a breach), </w:t>
      </w:r>
      <w:r w:rsidRPr="00A53846">
        <w:rPr>
          <w:b/>
          <w:color w:val="000000" w:themeColor="text1"/>
        </w:rPr>
        <w:t>₹200 cr</w:t>
      </w:r>
      <w:r w:rsidRPr="00A53846">
        <w:rPr>
          <w:color w:val="000000" w:themeColor="text1"/>
        </w:rPr>
        <w:t xml:space="preserve"> (mishandling a minor's data). Penalties can apply even without actual harm.</w:t>
      </w:r>
    </w:p>
    <w:p w14:paraId="32DAE9A7" w14:textId="77777777" w:rsidR="00B96FA2" w:rsidRPr="00A53846" w:rsidRDefault="00000000">
      <w:pPr>
        <w:pStyle w:val="ListBullet"/>
        <w:spacing w:after="60"/>
        <w:rPr>
          <w:color w:val="000000" w:themeColor="text1"/>
        </w:rPr>
      </w:pPr>
      <w:r w:rsidRPr="00A53846">
        <w:rPr>
          <w:b/>
          <w:color w:val="000000" w:themeColor="text1"/>
        </w:rPr>
        <w:t>Revenue blocker, not just legal.</w:t>
      </w:r>
      <w:r w:rsidRPr="00A53846">
        <w:rPr>
          <w:color w:val="000000" w:themeColor="text1"/>
        </w:rPr>
        <w:t xml:space="preserve"> Enterprise and government buyers will not purchase without a privacy policy, a data-processing agreement, and defensible data handling — and most will reject data routed through China. Compliance is a </w:t>
      </w:r>
      <w:r w:rsidRPr="00A53846">
        <w:rPr>
          <w:b/>
          <w:color w:val="000000" w:themeColor="text1"/>
        </w:rPr>
        <w:t>sales gate</w:t>
      </w:r>
      <w:r w:rsidRPr="00A53846">
        <w:rPr>
          <w:color w:val="000000" w:themeColor="text1"/>
        </w:rPr>
        <w:t>.</w:t>
      </w:r>
    </w:p>
    <w:p w14:paraId="134282E3" w14:textId="77777777" w:rsidR="00B96FA2" w:rsidRPr="00A53846" w:rsidRDefault="00000000">
      <w:pPr>
        <w:pStyle w:val="Heading2"/>
        <w:rPr>
          <w:color w:val="000000" w:themeColor="text1"/>
        </w:rPr>
      </w:pPr>
      <w:r w:rsidRPr="00A53846">
        <w:rPr>
          <w:color w:val="000000" w:themeColor="text1"/>
        </w:rPr>
        <w:t>Key findings — current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5339"/>
        <w:gridCol w:w="1495"/>
      </w:tblGrid>
      <w:tr w:rsidR="00B96FA2" w:rsidRPr="00A53846" w14:paraId="56A2E9A8" w14:textId="77777777">
        <w:tc>
          <w:tcPr>
            <w:tcW w:w="2160" w:type="dxa"/>
            <w:shd w:val="clear" w:color="auto" w:fill="1F3A5F"/>
          </w:tcPr>
          <w:p w14:paraId="79A4026C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Area</w:t>
            </w:r>
          </w:p>
        </w:tc>
        <w:tc>
          <w:tcPr>
            <w:tcW w:w="6048" w:type="dxa"/>
            <w:shd w:val="clear" w:color="auto" w:fill="1F3A5F"/>
          </w:tcPr>
          <w:p w14:paraId="23FDDFC6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Finding</w:t>
            </w:r>
          </w:p>
        </w:tc>
        <w:tc>
          <w:tcPr>
            <w:tcW w:w="1584" w:type="dxa"/>
            <w:shd w:val="clear" w:color="auto" w:fill="1F3A5F"/>
          </w:tcPr>
          <w:p w14:paraId="5D7E7031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Risk</w:t>
            </w:r>
          </w:p>
        </w:tc>
      </w:tr>
      <w:tr w:rsidR="00B96FA2" w:rsidRPr="00A53846" w14:paraId="0FD18613" w14:textId="77777777">
        <w:tc>
          <w:tcPr>
            <w:tcW w:w="2160" w:type="dxa"/>
          </w:tcPr>
          <w:p w14:paraId="42EAB46A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Consent</w:t>
            </w:r>
          </w:p>
        </w:tc>
        <w:tc>
          <w:tcPr>
            <w:tcW w:w="6048" w:type="dxa"/>
          </w:tcPr>
          <w:p w14:paraId="41180CF1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Camera, gaze and microphone capture begin with no informed consent</w:t>
            </w:r>
          </w:p>
        </w:tc>
        <w:tc>
          <w:tcPr>
            <w:tcW w:w="1584" w:type="dxa"/>
          </w:tcPr>
          <w:p w14:paraId="52B54980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Critical</w:t>
            </w:r>
          </w:p>
        </w:tc>
      </w:tr>
      <w:tr w:rsidR="00B96FA2" w:rsidRPr="00A53846" w14:paraId="55B518EE" w14:textId="77777777">
        <w:tc>
          <w:tcPr>
            <w:tcW w:w="2160" w:type="dxa"/>
          </w:tcPr>
          <w:p w14:paraId="741140D2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Biometrics</w:t>
            </w:r>
          </w:p>
        </w:tc>
        <w:tc>
          <w:tcPr>
            <w:tcW w:w="6048" w:type="dxa"/>
          </w:tcPr>
          <w:p w14:paraId="54F0A1CA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Candidates' face and voice (both biometric) are captured and recorded</w:t>
            </w:r>
          </w:p>
        </w:tc>
        <w:tc>
          <w:tcPr>
            <w:tcW w:w="1584" w:type="dxa"/>
          </w:tcPr>
          <w:p w14:paraId="2E7B92A2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Critical</w:t>
            </w:r>
          </w:p>
        </w:tc>
      </w:tr>
      <w:tr w:rsidR="00B96FA2" w:rsidRPr="00A53846" w14:paraId="2121FDC1" w14:textId="77777777">
        <w:tc>
          <w:tcPr>
            <w:tcW w:w="2160" w:type="dxa"/>
          </w:tcPr>
          <w:p w14:paraId="1F8A58A0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Legal documents</w:t>
            </w:r>
          </w:p>
        </w:tc>
        <w:tc>
          <w:tcPr>
            <w:tcW w:w="6048" w:type="dxa"/>
          </w:tcPr>
          <w:p w14:paraId="1976B6C3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No privacy policy, terms, or candidate notice exist anywhere</w:t>
            </w:r>
          </w:p>
        </w:tc>
        <w:tc>
          <w:tcPr>
            <w:tcW w:w="1584" w:type="dxa"/>
          </w:tcPr>
          <w:p w14:paraId="7A4E1900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Critical</w:t>
            </w:r>
          </w:p>
        </w:tc>
      </w:tr>
      <w:tr w:rsidR="00B96FA2" w:rsidRPr="00A53846" w14:paraId="7020D80F" w14:textId="77777777">
        <w:tc>
          <w:tcPr>
            <w:tcW w:w="2160" w:type="dxa"/>
          </w:tcPr>
          <w:p w14:paraId="30108631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Data location</w:t>
            </w:r>
          </w:p>
        </w:tc>
        <w:tc>
          <w:tcPr>
            <w:tcW w:w="6048" w:type="dxa"/>
          </w:tcPr>
          <w:p w14:paraId="04F8DEAB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All candidate data is stored outside India (US/EU); some routed to China</w:t>
            </w:r>
          </w:p>
        </w:tc>
        <w:tc>
          <w:tcPr>
            <w:tcW w:w="1584" w:type="dxa"/>
          </w:tcPr>
          <w:p w14:paraId="5A8309EE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High</w:t>
            </w:r>
          </w:p>
        </w:tc>
      </w:tr>
      <w:tr w:rsidR="00B96FA2" w:rsidRPr="00A53846" w14:paraId="6C42C724" w14:textId="77777777">
        <w:tc>
          <w:tcPr>
            <w:tcW w:w="2160" w:type="dxa"/>
          </w:tcPr>
          <w:p w14:paraId="370DA72B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Third-party sharing</w:t>
            </w:r>
          </w:p>
        </w:tc>
        <w:tc>
          <w:tcPr>
            <w:tcW w:w="6048" w:type="dxa"/>
          </w:tcPr>
          <w:p w14:paraId="21D2EFDE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~14 external vendors may receive candidate data; none under a DPA</w:t>
            </w:r>
          </w:p>
        </w:tc>
        <w:tc>
          <w:tcPr>
            <w:tcW w:w="1584" w:type="dxa"/>
          </w:tcPr>
          <w:p w14:paraId="3448E9EC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High</w:t>
            </w:r>
          </w:p>
        </w:tc>
      </w:tr>
      <w:tr w:rsidR="00B96FA2" w:rsidRPr="00A53846" w14:paraId="25D8EC54" w14:textId="77777777">
        <w:tc>
          <w:tcPr>
            <w:tcW w:w="2160" w:type="dxa"/>
          </w:tcPr>
          <w:p w14:paraId="58DEAA0F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Minors</w:t>
            </w:r>
          </w:p>
        </w:tc>
        <w:tc>
          <w:tcPr>
            <w:tcW w:w="6048" w:type="dxa"/>
          </w:tcPr>
          <w:p w14:paraId="712EF68F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No age gate; under-18 candidates legally require verifiable parental consent</w:t>
            </w:r>
          </w:p>
        </w:tc>
        <w:tc>
          <w:tcPr>
            <w:tcW w:w="1584" w:type="dxa"/>
          </w:tcPr>
          <w:p w14:paraId="31B5C87B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High</w:t>
            </w:r>
          </w:p>
        </w:tc>
      </w:tr>
      <w:tr w:rsidR="00B96FA2" w:rsidRPr="00A53846" w14:paraId="3FC7796F" w14:textId="77777777">
        <w:tc>
          <w:tcPr>
            <w:tcW w:w="2160" w:type="dxa"/>
          </w:tcPr>
          <w:p w14:paraId="0DEF1D99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Accessibility</w:t>
            </w:r>
          </w:p>
        </w:tc>
        <w:tc>
          <w:tcPr>
            <w:tcW w:w="6048" w:type="dxa"/>
          </w:tcPr>
          <w:p w14:paraId="294F2A36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Gaze/face proctoring may disadvantage disabled candidates (RPwD Act)</w:t>
            </w:r>
          </w:p>
        </w:tc>
        <w:tc>
          <w:tcPr>
            <w:tcW w:w="1584" w:type="dxa"/>
          </w:tcPr>
          <w:p w14:paraId="5D1312DC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Medium–High</w:t>
            </w:r>
          </w:p>
        </w:tc>
      </w:tr>
      <w:tr w:rsidR="00B96FA2" w:rsidRPr="00A53846" w14:paraId="4AAED405" w14:textId="77777777">
        <w:tc>
          <w:tcPr>
            <w:tcW w:w="2160" w:type="dxa"/>
          </w:tcPr>
          <w:p w14:paraId="628A664C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AI transparency</w:t>
            </w:r>
          </w:p>
        </w:tc>
        <w:tc>
          <w:tcPr>
            <w:tcW w:w="6048" w:type="dxa"/>
          </w:tcPr>
          <w:p w14:paraId="72835CAE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The AI avatar is not labelled “AI-generated” (now legally required)</w:t>
            </w:r>
          </w:p>
        </w:tc>
        <w:tc>
          <w:tcPr>
            <w:tcW w:w="1584" w:type="dxa"/>
          </w:tcPr>
          <w:p w14:paraId="34876EB5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Medium</w:t>
            </w:r>
          </w:p>
        </w:tc>
      </w:tr>
      <w:tr w:rsidR="00B96FA2" w:rsidRPr="00A53846" w14:paraId="73567A00" w14:textId="77777777">
        <w:tc>
          <w:tcPr>
            <w:tcW w:w="2160" w:type="dxa"/>
          </w:tcPr>
          <w:p w14:paraId="30089B7C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Talent Finder</w:t>
            </w:r>
          </w:p>
        </w:tc>
        <w:tc>
          <w:tcPr>
            <w:tcW w:w="6048" w:type="dxa"/>
          </w:tcPr>
          <w:p w14:paraId="5541AB74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Sources candidate profiles from the web — processes data of non-applicants</w:t>
            </w:r>
          </w:p>
        </w:tc>
        <w:tc>
          <w:tcPr>
            <w:tcW w:w="1584" w:type="dxa"/>
          </w:tcPr>
          <w:p w14:paraId="535B5EF3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Medium</w:t>
            </w:r>
          </w:p>
        </w:tc>
      </w:tr>
    </w:tbl>
    <w:p w14:paraId="57933727" w14:textId="77777777" w:rsidR="00B96FA2" w:rsidRPr="00A53846" w:rsidRDefault="00000000">
      <w:pPr>
        <w:pStyle w:val="Heading2"/>
        <w:rPr>
          <w:color w:val="000000" w:themeColor="text1"/>
        </w:rPr>
      </w:pPr>
      <w:r w:rsidRPr="00A53846">
        <w:rPr>
          <w:color w:val="000000" w:themeColor="text1"/>
        </w:rPr>
        <w:lastRenderedPageBreak/>
        <w:t>What's already been decided</w:t>
      </w:r>
    </w:p>
    <w:p w14:paraId="45B7B566" w14:textId="77777777" w:rsidR="00B96FA2" w:rsidRPr="00A53846" w:rsidRDefault="00000000">
      <w:pPr>
        <w:pStyle w:val="ListBullet"/>
        <w:spacing w:after="60"/>
        <w:rPr>
          <w:color w:val="000000" w:themeColor="text1"/>
        </w:rPr>
      </w:pPr>
      <w:r w:rsidRPr="00A53846">
        <w:rPr>
          <w:b/>
          <w:color w:val="000000" w:themeColor="text1"/>
        </w:rPr>
        <w:t>Migrate the AI scoring and resume-parsing model off the China-based provider to a US-based one.</w:t>
      </w:r>
      <w:r w:rsidRPr="00A53846">
        <w:rPr>
          <w:color w:val="000000" w:themeColor="text1"/>
        </w:rPr>
        <w:t xml:space="preserve"> This removes the single highest-risk data flow. Note: it is a risk </w:t>
      </w:r>
      <w:r w:rsidRPr="00A53846">
        <w:rPr>
          <w:b/>
          <w:color w:val="000000" w:themeColor="text1"/>
        </w:rPr>
        <w:t>reduction, not elimination</w:t>
      </w:r>
      <w:r w:rsidRPr="00A53846">
        <w:rPr>
          <w:color w:val="000000" w:themeColor="text1"/>
        </w:rPr>
        <w:t xml:space="preserve"> — candidate data still leaves India, which keeps the disclosure and customer-localization concerns live.</w:t>
      </w:r>
    </w:p>
    <w:p w14:paraId="33B6E8EA" w14:textId="77777777" w:rsidR="00B96FA2" w:rsidRPr="00A53846" w:rsidRDefault="00000000">
      <w:pPr>
        <w:pStyle w:val="Heading2"/>
        <w:rPr>
          <w:color w:val="000000" w:themeColor="text1"/>
        </w:rPr>
      </w:pPr>
      <w:r w:rsidRPr="00A53846">
        <w:rPr>
          <w:color w:val="000000" w:themeColor="text1"/>
        </w:rPr>
        <w:t>The plan — phased to the deadline</w:t>
      </w:r>
    </w:p>
    <w:tbl>
      <w:tblPr>
        <w:tblStyle w:val="TableGrid"/>
        <w:tblW w:w="0" w:type="auto"/>
        <w:shd w:val="clear" w:color="000000" w:themeColor="text1" w:fill="auto"/>
        <w:tblLook w:val="04A0" w:firstRow="1" w:lastRow="0" w:firstColumn="1" w:lastColumn="0" w:noHBand="0" w:noVBand="1"/>
      </w:tblPr>
      <w:tblGrid>
        <w:gridCol w:w="1777"/>
        <w:gridCol w:w="4111"/>
        <w:gridCol w:w="1562"/>
        <w:gridCol w:w="1406"/>
      </w:tblGrid>
      <w:tr w:rsidR="00B96FA2" w:rsidRPr="00A53846" w14:paraId="0A729EBE" w14:textId="77777777" w:rsidTr="00A53846">
        <w:tc>
          <w:tcPr>
            <w:tcW w:w="2016" w:type="dxa"/>
            <w:shd w:val="clear" w:color="000000" w:themeColor="text1" w:fill="auto"/>
          </w:tcPr>
          <w:p w14:paraId="0B123134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Phase</w:t>
            </w:r>
          </w:p>
        </w:tc>
        <w:tc>
          <w:tcPr>
            <w:tcW w:w="5184" w:type="dxa"/>
            <w:shd w:val="clear" w:color="000000" w:themeColor="text1" w:fill="auto"/>
          </w:tcPr>
          <w:p w14:paraId="53F64359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Focus</w:t>
            </w:r>
          </w:p>
        </w:tc>
        <w:tc>
          <w:tcPr>
            <w:tcW w:w="1728" w:type="dxa"/>
            <w:shd w:val="clear" w:color="000000" w:themeColor="text1" w:fill="auto"/>
          </w:tcPr>
          <w:p w14:paraId="298294A9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Mainly</w:t>
            </w:r>
          </w:p>
        </w:tc>
        <w:tc>
          <w:tcPr>
            <w:tcW w:w="1584" w:type="dxa"/>
            <w:shd w:val="clear" w:color="000000" w:themeColor="text1" w:fill="auto"/>
          </w:tcPr>
          <w:p w14:paraId="118DDD61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b/>
                <w:color w:val="000000" w:themeColor="text1"/>
                <w:sz w:val="19"/>
              </w:rPr>
              <w:t>Needs</w:t>
            </w:r>
          </w:p>
        </w:tc>
      </w:tr>
      <w:tr w:rsidR="00B96FA2" w:rsidRPr="00A53846" w14:paraId="72616E2C" w14:textId="77777777" w:rsidTr="00A53846">
        <w:tc>
          <w:tcPr>
            <w:tcW w:w="2016" w:type="dxa"/>
            <w:shd w:val="clear" w:color="000000" w:themeColor="text1" w:fill="auto"/>
          </w:tcPr>
          <w:p w14:paraId="6A40A3F5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0 — Immediate</w:t>
            </w:r>
          </w:p>
        </w:tc>
        <w:tc>
          <w:tcPr>
            <w:tcW w:w="5184" w:type="dxa"/>
            <w:shd w:val="clear" w:color="000000" w:themeColor="text1" w:fill="auto"/>
          </w:tcPr>
          <w:p w14:paraId="4CDECC0A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Informed consent (camera + mic + AI scoring), 18+ age gate, data-retention rules, finish the US-model migration, fix exposed key</w:t>
            </w:r>
          </w:p>
        </w:tc>
        <w:tc>
          <w:tcPr>
            <w:tcW w:w="1728" w:type="dxa"/>
            <w:shd w:val="clear" w:color="000000" w:themeColor="text1" w:fill="auto"/>
          </w:tcPr>
          <w:p w14:paraId="1A4673E7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Engineering</w:t>
            </w:r>
          </w:p>
        </w:tc>
        <w:tc>
          <w:tcPr>
            <w:tcW w:w="1584" w:type="dxa"/>
            <w:shd w:val="clear" w:color="000000" w:themeColor="text1" w:fill="auto"/>
          </w:tcPr>
          <w:p w14:paraId="1BD91759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Decisions below</w:t>
            </w:r>
          </w:p>
        </w:tc>
      </w:tr>
      <w:tr w:rsidR="00B96FA2" w:rsidRPr="00A53846" w14:paraId="387B4826" w14:textId="77777777" w:rsidTr="00A53846">
        <w:tc>
          <w:tcPr>
            <w:tcW w:w="2016" w:type="dxa"/>
            <w:shd w:val="clear" w:color="000000" w:themeColor="text1" w:fill="auto"/>
          </w:tcPr>
          <w:p w14:paraId="1ECC7AB5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1 — Documents (~2 wks)</w:t>
            </w:r>
          </w:p>
        </w:tc>
        <w:tc>
          <w:tcPr>
            <w:tcW w:w="5184" w:type="dxa"/>
            <w:shd w:val="clear" w:color="000000" w:themeColor="text1" w:fill="auto"/>
          </w:tcPr>
          <w:p w14:paraId="258C3AD0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Privacy policy / notice, terms of service, candidate AI-notice, footer links</w:t>
            </w:r>
          </w:p>
        </w:tc>
        <w:tc>
          <w:tcPr>
            <w:tcW w:w="1728" w:type="dxa"/>
            <w:shd w:val="clear" w:color="000000" w:themeColor="text1" w:fill="auto"/>
          </w:tcPr>
          <w:p w14:paraId="0FB8F4DD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Drafting</w:t>
            </w:r>
          </w:p>
        </w:tc>
        <w:tc>
          <w:tcPr>
            <w:tcW w:w="1584" w:type="dxa"/>
            <w:shd w:val="clear" w:color="000000" w:themeColor="text1" w:fill="auto"/>
          </w:tcPr>
          <w:p w14:paraId="459677B6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Legal review</w:t>
            </w:r>
          </w:p>
        </w:tc>
      </w:tr>
      <w:tr w:rsidR="00B96FA2" w:rsidRPr="00A53846" w14:paraId="262A5016" w14:textId="77777777" w:rsidTr="00A53846">
        <w:tc>
          <w:tcPr>
            <w:tcW w:w="2016" w:type="dxa"/>
            <w:shd w:val="clear" w:color="000000" w:themeColor="text1" w:fill="auto"/>
          </w:tcPr>
          <w:p w14:paraId="6C8BBB22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2 — Data rights (~1 mo)</w:t>
            </w:r>
          </w:p>
        </w:tc>
        <w:tc>
          <w:tcPr>
            <w:tcW w:w="5184" w:type="dxa"/>
            <w:shd w:val="clear" w:color="000000" w:themeColor="text1" w:fill="auto"/>
          </w:tcPr>
          <w:p w14:paraId="479705AE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Data access &amp; deletion, grievance contact (90-day SLA), 72-hour breach process</w:t>
            </w:r>
          </w:p>
        </w:tc>
        <w:tc>
          <w:tcPr>
            <w:tcW w:w="1728" w:type="dxa"/>
            <w:shd w:val="clear" w:color="000000" w:themeColor="text1" w:fill="auto"/>
          </w:tcPr>
          <w:p w14:paraId="07C1C7A5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Engineering + process</w:t>
            </w:r>
          </w:p>
        </w:tc>
        <w:tc>
          <w:tcPr>
            <w:tcW w:w="1584" w:type="dxa"/>
            <w:shd w:val="clear" w:color="000000" w:themeColor="text1" w:fill="auto"/>
          </w:tcPr>
          <w:p w14:paraId="3014B9D8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—</w:t>
            </w:r>
          </w:p>
        </w:tc>
      </w:tr>
      <w:tr w:rsidR="00B96FA2" w:rsidRPr="00A53846" w14:paraId="69D13DA1" w14:textId="77777777" w:rsidTr="00A53846">
        <w:tc>
          <w:tcPr>
            <w:tcW w:w="2016" w:type="dxa"/>
            <w:shd w:val="clear" w:color="000000" w:themeColor="text1" w:fill="auto"/>
          </w:tcPr>
          <w:p w14:paraId="404F33CF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Accessibility &amp; AI</w:t>
            </w:r>
          </w:p>
        </w:tc>
        <w:tc>
          <w:tcPr>
            <w:tcW w:w="5184" w:type="dxa"/>
            <w:shd w:val="clear" w:color="000000" w:themeColor="text1" w:fill="auto"/>
          </w:tcPr>
          <w:p w14:paraId="3983618B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Label the avatar as AI-generated (already required), accessible interview mode</w:t>
            </w:r>
          </w:p>
        </w:tc>
        <w:tc>
          <w:tcPr>
            <w:tcW w:w="1728" w:type="dxa"/>
            <w:shd w:val="clear" w:color="000000" w:themeColor="text1" w:fill="auto"/>
          </w:tcPr>
          <w:p w14:paraId="0041E712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Product</w:t>
            </w:r>
          </w:p>
        </w:tc>
        <w:tc>
          <w:tcPr>
            <w:tcW w:w="1584" w:type="dxa"/>
            <w:shd w:val="clear" w:color="000000" w:themeColor="text1" w:fill="auto"/>
          </w:tcPr>
          <w:p w14:paraId="7B4A3B48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—</w:t>
            </w:r>
          </w:p>
        </w:tc>
      </w:tr>
      <w:tr w:rsidR="00B96FA2" w:rsidRPr="00A53846" w14:paraId="6A1C0BB0" w14:textId="77777777" w:rsidTr="00A53846">
        <w:tc>
          <w:tcPr>
            <w:tcW w:w="2016" w:type="dxa"/>
            <w:shd w:val="clear" w:color="000000" w:themeColor="text1" w:fill="auto"/>
          </w:tcPr>
          <w:p w14:paraId="1B36371C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3 — Customer-facing</w:t>
            </w:r>
          </w:p>
        </w:tc>
        <w:tc>
          <w:tcPr>
            <w:tcW w:w="5184" w:type="dxa"/>
            <w:shd w:val="clear" w:color="000000" w:themeColor="text1" w:fill="auto"/>
          </w:tcPr>
          <w:p w14:paraId="09ECFD0D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DPA template, vendor sub-processor agreements, Talent Finder legal review</w:t>
            </w:r>
          </w:p>
        </w:tc>
        <w:tc>
          <w:tcPr>
            <w:tcW w:w="1728" w:type="dxa"/>
            <w:shd w:val="clear" w:color="000000" w:themeColor="text1" w:fill="auto"/>
          </w:tcPr>
          <w:p w14:paraId="63B480F6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Legal + eng</w:t>
            </w:r>
          </w:p>
        </w:tc>
        <w:tc>
          <w:tcPr>
            <w:tcW w:w="1584" w:type="dxa"/>
            <w:shd w:val="clear" w:color="000000" w:themeColor="text1" w:fill="auto"/>
          </w:tcPr>
          <w:p w14:paraId="1EC441C6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Legal review</w:t>
            </w:r>
          </w:p>
        </w:tc>
      </w:tr>
      <w:tr w:rsidR="00B96FA2" w:rsidRPr="00A53846" w14:paraId="4ECE5233" w14:textId="77777777" w:rsidTr="00A53846">
        <w:tc>
          <w:tcPr>
            <w:tcW w:w="2016" w:type="dxa"/>
            <w:shd w:val="clear" w:color="000000" w:themeColor="text1" w:fill="auto"/>
          </w:tcPr>
          <w:p w14:paraId="50F95912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4 — Corporate</w:t>
            </w:r>
          </w:p>
        </w:tc>
        <w:tc>
          <w:tcPr>
            <w:tcW w:w="5184" w:type="dxa"/>
            <w:shd w:val="clear" w:color="000000" w:themeColor="text1" w:fill="auto"/>
          </w:tcPr>
          <w:p w14:paraId="08DAE43B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Incorporation, founder IP assignment, trademark, GST</w:t>
            </w:r>
          </w:p>
        </w:tc>
        <w:tc>
          <w:tcPr>
            <w:tcW w:w="1728" w:type="dxa"/>
            <w:shd w:val="clear" w:color="000000" w:themeColor="text1" w:fill="auto"/>
          </w:tcPr>
          <w:p w14:paraId="507252FF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External</w:t>
            </w:r>
          </w:p>
        </w:tc>
        <w:tc>
          <w:tcPr>
            <w:tcW w:w="1584" w:type="dxa"/>
            <w:shd w:val="clear" w:color="000000" w:themeColor="text1" w:fill="auto"/>
          </w:tcPr>
          <w:p w14:paraId="4CE6D6E1" w14:textId="77777777" w:rsidR="00B96FA2" w:rsidRPr="00A53846" w:rsidRDefault="00000000">
            <w:pPr>
              <w:rPr>
                <w:color w:val="000000" w:themeColor="text1"/>
              </w:rPr>
            </w:pPr>
            <w:r w:rsidRPr="00A53846">
              <w:rPr>
                <w:color w:val="000000" w:themeColor="text1"/>
                <w:sz w:val="19"/>
              </w:rPr>
              <w:t>CA / CS</w:t>
            </w:r>
          </w:p>
        </w:tc>
      </w:tr>
    </w:tbl>
    <w:p w14:paraId="5C344DE9" w14:textId="77777777" w:rsidR="00B96FA2" w:rsidRPr="00A53846" w:rsidRDefault="00000000">
      <w:pPr>
        <w:spacing w:after="120"/>
        <w:rPr>
          <w:color w:val="000000" w:themeColor="text1"/>
        </w:rPr>
      </w:pPr>
      <w:r w:rsidRPr="00A53846">
        <w:rPr>
          <w:color w:val="000000" w:themeColor="text1"/>
        </w:rPr>
        <w:t xml:space="preserve">Engineering items (consent screen, age gate, deletion endpoint, avatar label) can be built in-house. Document drafting can be produced in-house and </w:t>
      </w:r>
      <w:r w:rsidRPr="00A53846">
        <w:rPr>
          <w:b/>
          <w:color w:val="000000" w:themeColor="text1"/>
        </w:rPr>
        <w:t>finalised by counsel</w:t>
      </w:r>
      <w:r w:rsidRPr="00A53846">
        <w:rPr>
          <w:color w:val="000000" w:themeColor="text1"/>
        </w:rPr>
        <w:t>. Corporate filings need a Chartered Accountant / Company Secretary.</w:t>
      </w:r>
    </w:p>
    <w:p w14:paraId="5D9DC640" w14:textId="77777777" w:rsidR="00B96FA2" w:rsidRPr="00A53846" w:rsidRDefault="00000000">
      <w:pPr>
        <w:pStyle w:val="Heading2"/>
        <w:rPr>
          <w:color w:val="000000" w:themeColor="text1"/>
        </w:rPr>
      </w:pPr>
      <w:r w:rsidRPr="00A53846">
        <w:rPr>
          <w:color w:val="000000" w:themeColor="text1"/>
        </w:rPr>
        <w:t>What I need from management</w:t>
      </w:r>
    </w:p>
    <w:p w14:paraId="08CB6097" w14:textId="77777777" w:rsidR="00B96FA2" w:rsidRPr="00A53846" w:rsidRDefault="00000000">
      <w:pPr>
        <w:pStyle w:val="ListNumber"/>
        <w:spacing w:after="60"/>
        <w:rPr>
          <w:color w:val="000000" w:themeColor="text1"/>
        </w:rPr>
      </w:pPr>
      <w:r w:rsidRPr="00A53846">
        <w:rPr>
          <w:b/>
          <w:color w:val="000000" w:themeColor="text1"/>
        </w:rPr>
        <w:t>Budget for external legal sign-off</w:t>
      </w:r>
      <w:r w:rsidRPr="00A53846">
        <w:rPr>
          <w:color w:val="000000" w:themeColor="text1"/>
        </w:rPr>
        <w:t xml:space="preserve"> — an Indian data-protection lawyer to review the consent flow and privacy policy. Drafting them in-house first keeps this review fast and low-cost.</w:t>
      </w:r>
    </w:p>
    <w:p w14:paraId="7D454470" w14:textId="77777777" w:rsidR="00B96FA2" w:rsidRPr="00A53846" w:rsidRDefault="00000000">
      <w:pPr>
        <w:pStyle w:val="ListNumber"/>
        <w:spacing w:after="60"/>
        <w:rPr>
          <w:color w:val="000000" w:themeColor="text1"/>
        </w:rPr>
      </w:pPr>
      <w:r w:rsidRPr="00A53846">
        <w:rPr>
          <w:b/>
          <w:color w:val="000000" w:themeColor="text1"/>
        </w:rPr>
        <w:t>Confirm the US LLM provider</w:t>
      </w:r>
      <w:r w:rsidRPr="00A53846">
        <w:rPr>
          <w:color w:val="000000" w:themeColor="text1"/>
        </w:rPr>
        <w:t xml:space="preserve"> (recommended: Anthropic Claude; enterprise alternative: Azure OpenAI) so the migration off China can be completed.</w:t>
      </w:r>
    </w:p>
    <w:p w14:paraId="655F76BE" w14:textId="77777777" w:rsidR="00B96FA2" w:rsidRPr="00A53846" w:rsidRDefault="00000000">
      <w:pPr>
        <w:pStyle w:val="ListNumber"/>
        <w:spacing w:after="60"/>
        <w:rPr>
          <w:color w:val="000000" w:themeColor="text1"/>
        </w:rPr>
      </w:pPr>
      <w:r w:rsidRPr="00A53846">
        <w:rPr>
          <w:b/>
          <w:color w:val="000000" w:themeColor="text1"/>
        </w:rPr>
        <w:t>Approve an 18+ age gate</w:t>
      </w:r>
      <w:r w:rsidRPr="00A53846">
        <w:rPr>
          <w:color w:val="000000" w:themeColor="text1"/>
        </w:rPr>
        <w:t xml:space="preserve"> as the starting position (vs. building full parental-consent now).</w:t>
      </w:r>
    </w:p>
    <w:p w14:paraId="1A5B532F" w14:textId="77777777" w:rsidR="00B96FA2" w:rsidRPr="00A53846" w:rsidRDefault="00000000">
      <w:pPr>
        <w:pStyle w:val="ListNumber"/>
        <w:spacing w:after="60"/>
        <w:rPr>
          <w:color w:val="000000" w:themeColor="text1"/>
        </w:rPr>
      </w:pPr>
      <w:r w:rsidRPr="00A53846">
        <w:rPr>
          <w:b/>
          <w:color w:val="000000" w:themeColor="text1"/>
        </w:rPr>
        <w:t>Prioritisation</w:t>
      </w:r>
      <w:r w:rsidRPr="00A53846">
        <w:rPr>
          <w:color w:val="000000" w:themeColor="text1"/>
        </w:rPr>
        <w:t xml:space="preserve"> — confirm Phase 0 is a near-term priority given the legal deadline and the sales gate it represents.</w:t>
      </w:r>
    </w:p>
    <w:p w14:paraId="3C92E4BA" w14:textId="77777777" w:rsidR="00B96FA2" w:rsidRPr="00A53846" w:rsidRDefault="00000000">
      <w:pPr>
        <w:pStyle w:val="Heading2"/>
        <w:rPr>
          <w:color w:val="000000" w:themeColor="text1"/>
        </w:rPr>
      </w:pPr>
      <w:r w:rsidRPr="00A53846">
        <w:rPr>
          <w:color w:val="000000" w:themeColor="text1"/>
        </w:rPr>
        <w:t>Caveats</w:t>
      </w:r>
    </w:p>
    <w:p w14:paraId="6A5D8551" w14:textId="77777777" w:rsidR="00B96FA2" w:rsidRPr="00A53846" w:rsidRDefault="00000000">
      <w:pPr>
        <w:spacing w:after="0"/>
        <w:rPr>
          <w:color w:val="000000" w:themeColor="text1"/>
        </w:rPr>
      </w:pPr>
      <w:r w:rsidRPr="00A53846">
        <w:rPr>
          <w:color w:val="000000" w:themeColor="text1"/>
        </w:rPr>
        <w:t xml:space="preserve">This is an internal assessment to scope and accelerate compliance; it </w:t>
      </w:r>
      <w:r w:rsidRPr="00A53846">
        <w:rPr>
          <w:b/>
          <w:color w:val="000000" w:themeColor="text1"/>
        </w:rPr>
        <w:t>does not constitute legal advice</w:t>
      </w:r>
      <w:r w:rsidRPr="00A53846">
        <w:rPr>
          <w:color w:val="000000" w:themeColor="text1"/>
        </w:rPr>
        <w:t>. Final consent wording and published policies require sign-off from qualified Indian counsel, and some sector-specific rules are outside the scope of this review. Compliance timelines assume the planned engineering work is resourced.</w:t>
      </w:r>
    </w:p>
    <w:sectPr w:rsidR="00B96FA2" w:rsidRPr="00A53846" w:rsidSect="00A538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164871">
    <w:abstractNumId w:val="8"/>
  </w:num>
  <w:num w:numId="2" w16cid:durableId="1404178253">
    <w:abstractNumId w:val="6"/>
  </w:num>
  <w:num w:numId="3" w16cid:durableId="1454863070">
    <w:abstractNumId w:val="5"/>
  </w:num>
  <w:num w:numId="4" w16cid:durableId="1992057037">
    <w:abstractNumId w:val="4"/>
  </w:num>
  <w:num w:numId="5" w16cid:durableId="1652515170">
    <w:abstractNumId w:val="7"/>
  </w:num>
  <w:num w:numId="6" w16cid:durableId="183443675">
    <w:abstractNumId w:val="3"/>
  </w:num>
  <w:num w:numId="7" w16cid:durableId="263194930">
    <w:abstractNumId w:val="2"/>
  </w:num>
  <w:num w:numId="8" w16cid:durableId="347217372">
    <w:abstractNumId w:val="1"/>
  </w:num>
  <w:num w:numId="9" w16cid:durableId="201837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789"/>
    <w:rsid w:val="0015074B"/>
    <w:rsid w:val="0029639D"/>
    <w:rsid w:val="00326F90"/>
    <w:rsid w:val="00A53846"/>
    <w:rsid w:val="00AA1D8D"/>
    <w:rsid w:val="00B47730"/>
    <w:rsid w:val="00B96F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F2493"/>
  <w14:defaultImageDpi w14:val="300"/>
  <w15:docId w15:val="{688BD282-9D9D-4EA1-9E50-11D8B018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 Jain</cp:lastModifiedBy>
  <cp:revision>2</cp:revision>
  <dcterms:created xsi:type="dcterms:W3CDTF">2013-12-23T23:15:00Z</dcterms:created>
  <dcterms:modified xsi:type="dcterms:W3CDTF">2026-06-27T11:27:00Z</dcterms:modified>
  <cp:category/>
</cp:coreProperties>
</file>