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IntervieHire — Data Processing Addendum (DPA)</w:t>
      </w:r>
    </w:p>
    <w:p>
      <w:r>
        <w:rPr>
          <w:b/>
        </w:rPr>
        <w:t>Effective date:</w:t>
      </w:r>
      <w:r>
        <w:t xml:space="preserve"> [DATE]</w:t>
      </w:r>
    </w:p>
    <w:p>
      <w:r>
        <w:rPr>
          <w:b/>
        </w:rPr>
        <w:t>Version:</w:t>
      </w:r>
      <w:r>
        <w:t xml:space="preserve"> 1.0</w:t>
      </w:r>
    </w:p>
    <w:p>
      <w:r>
        <w:t>This Data Processing Addendum ("</w:t>
      </w:r>
      <w:r>
        <w:rPr>
          <w:b/>
        </w:rPr>
        <w:t>DPA</w:t>
      </w:r>
      <w:r>
        <w:t xml:space="preserve">") is entered into between </w:t>
      </w:r>
      <w:r>
        <w:rPr>
          <w:b/>
        </w:rPr>
        <w:t>[LEGAL ENTITY NAME]</w:t>
      </w:r>
      <w:r>
        <w:t xml:space="preserve"> ("</w:t>
      </w:r>
      <w:r>
        <w:rPr>
          <w:b/>
        </w:rPr>
        <w:t>IntervieHire</w:t>
      </w:r>
      <w:r>
        <w:t>", "</w:t>
      </w:r>
      <w:r>
        <w:rPr>
          <w:b/>
        </w:rPr>
        <w:t>Processor</w:t>
      </w:r>
      <w:r>
        <w:t>", "</w:t>
      </w:r>
      <w:r>
        <w:rPr>
          <w:b/>
        </w:rPr>
        <w:t>we</w:t>
      </w:r>
      <w:r>
        <w:t>", "</w:t>
      </w:r>
      <w:r>
        <w:rPr>
          <w:b/>
        </w:rPr>
        <w:t>us</w:t>
      </w:r>
      <w:r>
        <w:t>") and the customer that has accepted the Terms of Service (the "</w:t>
      </w:r>
      <w:r>
        <w:rPr>
          <w:b/>
        </w:rPr>
        <w:t>Client</w:t>
      </w:r>
      <w:r>
        <w:t>", "</w:t>
      </w:r>
      <w:r>
        <w:rPr>
          <w:b/>
        </w:rPr>
        <w:t>Controller</w:t>
      </w:r>
      <w:r>
        <w:t>", "</w:t>
      </w:r>
      <w:r>
        <w:rPr>
          <w:b/>
        </w:rPr>
        <w:t>you</w:t>
      </w:r>
      <w:r>
        <w:t xml:space="preserve">"). It forms part of, and is governed by, the </w:t>
      </w:r>
      <w:r>
        <w:rPr>
          <w:b/>
        </w:rPr>
        <w:t>Terms of Service</w:t>
      </w:r>
      <w:r>
        <w:t xml:space="preserve"> between the parties (the "</w:t>
      </w:r>
      <w:r>
        <w:rPr>
          <w:b/>
        </w:rPr>
        <w:t>Agreement</w:t>
      </w:r>
      <w:r>
        <w:t xml:space="preserve">"). Where this DPA and the Agreement conflict on the subject of data protection, </w:t>
      </w:r>
      <w:r>
        <w:rPr>
          <w:b/>
        </w:rPr>
        <w:t>this DPA prevails</w:t>
      </w:r>
      <w:r>
        <w:t>.</w:t>
      </w:r>
    </w:p>
    <w:p>
      <w:r>
        <w:t xml:space="preserve">This DPA reflects the parties' agreement on the processing of </w:t>
      </w:r>
      <w:r>
        <w:rPr>
          <w:b/>
        </w:rPr>
        <w:t>Candidate Personal Data</w:t>
      </w:r>
      <w:r>
        <w:t xml:space="preserve"> that IntervieHire processes </w:t>
      </w:r>
      <w:r>
        <w:rPr>
          <w:b/>
        </w:rPr>
        <w:t>on the Client's behalf</w:t>
      </w:r>
      <w:r>
        <w:t xml:space="preserve"> when the Client uses the Services to interview and assess its candidates. It is drafted to satisfy both:</w:t>
      </w:r>
    </w:p>
    <w:p>
      <w:pPr>
        <w:pStyle w:val="ListBullet"/>
      </w:pPr>
      <w:r>
        <w:t xml:space="preserve">the </w:t>
      </w:r>
      <w:r>
        <w:rPr>
          <w:b/>
        </w:rPr>
        <w:t>EU/UK General Data Protection Regulation (GDPR / UK GDPR)</w:t>
      </w:r>
      <w:r>
        <w:t xml:space="preserve">, in particular </w:t>
      </w:r>
      <w:r>
        <w:rPr>
          <w:b/>
        </w:rPr>
        <w:t>Article 28</w:t>
      </w:r>
      <w:r>
        <w:t>, and</w:t>
      </w:r>
    </w:p>
    <w:p>
      <w:pPr>
        <w:pStyle w:val="ListBullet"/>
      </w:pPr>
      <w:r>
        <w:t xml:space="preserve">India's </w:t>
      </w:r>
      <w:r>
        <w:rPr>
          <w:b/>
        </w:rPr>
        <w:t>Digital Personal Data Protection Act, 2023 (DPDP Act)</w:t>
      </w:r>
      <w:r>
        <w:t xml:space="preserve"> and the </w:t>
      </w:r>
      <w:r>
        <w:rPr>
          <w:b/>
        </w:rPr>
        <w:t>DPDP Rules, 2025</w:t>
      </w:r>
      <w:r>
        <w:t>.</w:t>
      </w:r>
    </w:p>
    <w:p>
      <w:r>
        <w:t xml:space="preserve">Equivalent terms are treated as interchangeable: </w:t>
      </w:r>
      <w:r>
        <w:rPr>
          <w:i/>
        </w:rPr>
        <w:t>Controller</w:t>
      </w:r>
      <w:r>
        <w:t xml:space="preserve"> (GDPR) ≈ </w:t>
      </w:r>
      <w:r>
        <w:rPr>
          <w:i/>
        </w:rPr>
        <w:t>Data Fiduciary</w:t>
      </w:r>
      <w:r>
        <w:t xml:space="preserve"> (DPDP); </w:t>
      </w:r>
      <w:r>
        <w:rPr>
          <w:i/>
        </w:rPr>
        <w:t>Processor</w:t>
      </w:r>
      <w:r>
        <w:t xml:space="preserve"> ≈ </w:t>
      </w:r>
      <w:r>
        <w:rPr>
          <w:i/>
        </w:rPr>
        <w:t>Data Processor</w:t>
      </w:r>
      <w:r>
        <w:t xml:space="preserve">; </w:t>
      </w:r>
      <w:r>
        <w:rPr>
          <w:i/>
        </w:rPr>
        <w:t>Data Subject</w:t>
      </w:r>
      <w:r>
        <w:t xml:space="preserve"> ≈ </w:t>
      </w:r>
      <w:r>
        <w:rPr>
          <w:i/>
        </w:rPr>
        <w:t>Data Principal</w:t>
      </w:r>
      <w:r>
        <w:t xml:space="preserve">; </w:t>
      </w:r>
      <w:r>
        <w:rPr>
          <w:i/>
        </w:rPr>
        <w:t>Supervisory Authority</w:t>
      </w:r>
      <w:r>
        <w:t xml:space="preserve"> ≈ </w:t>
      </w:r>
      <w:r>
        <w:rPr>
          <w:i/>
        </w:rPr>
        <w:t>Data Protection Board of India (DPBI)</w:t>
      </w:r>
      <w:r>
        <w:t>.</w:t>
      </w:r>
    </w:p>
    <w:p>
      <w:pPr>
        <w:pBdr>
          <w:bottom w:val="single" w:sz="6" w:space="1" w:color="BBBBBB"/>
        </w:pBdr>
      </w:pPr>
    </w:p>
    <w:p>
      <w:pPr>
        <w:pStyle w:val="Heading1"/>
      </w:pPr>
      <w:r>
        <w:t>1. Definitions</w:t>
      </w:r>
    </w:p>
    <w:p>
      <w:pPr>
        <w:pStyle w:val="ListBullet"/>
      </w:pPr>
      <w:r>
        <w:rPr>
          <w:b/>
        </w:rPr>
        <w:t>Applicable Data Protection Law</w:t>
      </w:r>
      <w:r>
        <w:t xml:space="preserve"> — all privacy and data-protection laws applicable to the processing under this DPA, including the GDPR, UK GDPR, and the DPDP Act and DPDP Rules.</w:t>
      </w:r>
    </w:p>
    <w:p>
      <w:pPr>
        <w:pStyle w:val="ListBullet"/>
      </w:pPr>
      <w:r>
        <w:rPr>
          <w:b/>
        </w:rPr>
        <w:t>Candidate Personal Data</w:t>
      </w:r>
      <w:r>
        <w:t xml:space="preserve"> — personal data relating to the Client's candidates and interviewees that IntervieHire processes on the Client's behalf through the Services, as described in </w:t>
      </w:r>
      <w:r>
        <w:rPr>
          <w:b/>
        </w:rPr>
        <w:t>Annex 1</w:t>
      </w:r>
      <w:r>
        <w:t>.</w:t>
      </w:r>
    </w:p>
    <w:p>
      <w:pPr>
        <w:pStyle w:val="ListBullet"/>
      </w:pPr>
      <w:r>
        <w:rPr>
          <w:b/>
        </w:rPr>
        <w:t>Controller / Data Fiduciary, Processor / Data Processor, Data Subject / Data Principal, Personal Data, Processing, Special Category / Sensitive Personal Data, Personal Data Breach</w:t>
      </w:r>
      <w:r>
        <w:t xml:space="preserve"> — have the meanings given in Applicable Data Protection Law.</w:t>
      </w:r>
    </w:p>
    <w:p>
      <w:pPr>
        <w:pStyle w:val="ListBullet"/>
      </w:pPr>
      <w:r>
        <w:rPr>
          <w:b/>
        </w:rPr>
        <w:t>Sub-processor</w:t>
      </w:r>
      <w:r>
        <w:t xml:space="preserve"> — any third party engaged by IntervieHire to process Candidate Personal Data on its behalf, as listed in </w:t>
      </w:r>
      <w:r>
        <w:rPr>
          <w:b/>
        </w:rPr>
        <w:t>Annex 3</w:t>
      </w:r>
      <w:r>
        <w:t>.</w:t>
      </w:r>
    </w:p>
    <w:p>
      <w:pPr>
        <w:pStyle w:val="ListBullet"/>
      </w:pPr>
      <w:r>
        <w:rPr>
          <w:b/>
        </w:rPr>
        <w:t>Standard Contractual Clauses (SCCs)</w:t>
      </w:r>
      <w:r>
        <w:t xml:space="preserve"> — the clauses annexed to Commission Implementing Decision (EU) 2021/914, and for UK data the UK International Data Transfer Addendum ("</w:t>
      </w:r>
      <w:r>
        <w:rPr>
          <w:b/>
        </w:rPr>
        <w:t>UK IDTA</w:t>
      </w:r>
      <w:r>
        <w:t>").</w:t>
      </w:r>
    </w:p>
    <w:p>
      <w:pPr>
        <w:pStyle w:val="ListBullet"/>
      </w:pPr>
      <w:r>
        <w:t>Capitalised terms not defined here have the meaning given in the Agreement.</w:t>
      </w:r>
    </w:p>
    <w:p>
      <w:pPr>
        <w:pBdr>
          <w:bottom w:val="single" w:sz="6" w:space="1" w:color="BBBBBB"/>
        </w:pBdr>
      </w:pPr>
    </w:p>
    <w:p>
      <w:pPr>
        <w:pStyle w:val="Heading1"/>
      </w:pPr>
      <w:r>
        <w:t>2. Roles of the parties</w:t>
      </w:r>
    </w:p>
    <w:p>
      <w:pPr>
        <w:pStyle w:val="ListBullet"/>
      </w:pPr>
      <w:r>
        <w:t xml:space="preserve">For Candidate Personal Data processed under this DPA, the </w:t>
      </w:r>
      <w:r>
        <w:rPr>
          <w:b/>
        </w:rPr>
        <w:t>Client is the Controller / Data Fiduciary</w:t>
      </w:r>
      <w:r>
        <w:t xml:space="preserve"> and </w:t>
      </w:r>
      <w:r>
        <w:rPr>
          <w:b/>
        </w:rPr>
        <w:t>IntervieHire is the Processor / Data Processor</w:t>
      </w:r>
      <w:r>
        <w:t xml:space="preserve"> acting on the Client's documented instructions.</w:t>
      </w:r>
    </w:p>
    <w:p>
      <w:pPr>
        <w:pStyle w:val="ListBullet"/>
      </w:pPr>
      <w:r>
        <w:t>Each party is responsible for complying with its own obligations under Applicable Data Protection Law. The Client is responsible, as Controller, for the lawfulness of the processing it instructs (see §10).</w:t>
      </w:r>
    </w:p>
    <w:p>
      <w:pPr>
        <w:pStyle w:val="ListBullet"/>
      </w:pPr>
      <w:r>
        <w:t xml:space="preserve">This DPA does </w:t>
      </w:r>
      <w:r>
        <w:rPr>
          <w:b/>
        </w:rPr>
        <w:t>not</w:t>
      </w:r>
      <w:r>
        <w:t xml:space="preserve"> apply to personal data for which IntervieHire is itself the Controller / Data Fiduciary (e.g. website visitors, Client account administration, IntervieHire's public demo, and Talent Finder sourcing); that processing is governed by the </w:t>
      </w:r>
      <w:r>
        <w:rPr>
          <w:b/>
        </w:rPr>
        <w:t>Privacy Policy</w:t>
      </w:r>
      <w:r>
        <w:t>, not this DPA.</w:t>
      </w:r>
    </w:p>
    <w:p>
      <w:pPr>
        <w:pBdr>
          <w:bottom w:val="single" w:sz="6" w:space="1" w:color="BBBBBB"/>
        </w:pBdr>
      </w:pPr>
    </w:p>
    <w:p>
      <w:pPr>
        <w:pStyle w:val="Heading1"/>
      </w:pPr>
      <w:r>
        <w:t>3. Scope and instructions for processing</w:t>
      </w:r>
    </w:p>
    <w:p>
      <w:pPr>
        <w:pStyle w:val="ListBullet"/>
      </w:pPr>
      <w:r>
        <w:rPr>
          <w:b/>
        </w:rPr>
        <w:t>Documented instructions.</w:t>
      </w:r>
      <w:r>
        <w:t xml:space="preserve"> IntervieHire will process Candidate Personal Data only on the Client's documented instructions, including with regard to international transfers, unless required otherwise by a law to which it is subject (in which case it will inform the Client of that legal requirement before processing, unless the law prohibits it). The Agreement, this DPA (including </w:t>
      </w:r>
      <w:r>
        <w:rPr>
          <w:b/>
        </w:rPr>
        <w:t>Annex 1</w:t>
      </w:r>
      <w:r>
        <w:t>), and the Client's configuration and use of the Services constitute the Client's complete and final instructions.</w:t>
      </w:r>
    </w:p>
    <w:p>
      <w:pPr>
        <w:pStyle w:val="ListBullet"/>
      </w:pPr>
      <w:r>
        <w:rPr>
          <w:b/>
        </w:rPr>
        <w:t>Subject matter, duration, nature and purpose, categories of data and Data Subjects</w:t>
      </w:r>
      <w:r>
        <w:t xml:space="preserve"> are set out in </w:t>
      </w:r>
      <w:r>
        <w:rPr>
          <w:b/>
        </w:rPr>
        <w:t>Annex 1</w:t>
      </w:r>
      <w:r>
        <w:t>.</w:t>
      </w:r>
    </w:p>
    <w:p>
      <w:pPr>
        <w:pStyle w:val="ListBullet"/>
      </w:pPr>
      <w:r>
        <w:rPr>
          <w:b/>
        </w:rPr>
        <w:t>Lawful instructions.</w:t>
      </w:r>
      <w:r>
        <w:t xml:space="preserve"> IntervieHire will inform the Client if, in its opinion, an instruction infringes Applicable Data Protection Law (without obligation to actively monitor the Client's compliance).</w:t>
      </w:r>
    </w:p>
    <w:p>
      <w:pPr>
        <w:pStyle w:val="ListBullet"/>
      </w:pPr>
      <w:r>
        <w:rPr>
          <w:b/>
        </w:rPr>
        <w:t>No independent use.</w:t>
      </w:r>
      <w:r>
        <w:t xml:space="preserve"> IntervieHire will not sell Candidate Personal Data and will not process it for its own purposes or for profiling/advertising. </w:t>
      </w:r>
      <w:r>
        <w:rPr>
          <w:b/>
        </w:rPr>
        <w:t>IntervieHire does not use Candidate Personal Data (including résumés, transcripts, audio/video, or biometric data) to train its own AI models, and requires its AI Sub-processors not to train their models on such data.</w:t>
      </w:r>
    </w:p>
    <w:p>
      <w:pPr>
        <w:pBdr>
          <w:bottom w:val="single" w:sz="6" w:space="1" w:color="BBBBBB"/>
        </w:pBdr>
      </w:pPr>
    </w:p>
    <w:p>
      <w:pPr>
        <w:pStyle w:val="Heading1"/>
      </w:pPr>
      <w:r>
        <w:t>4. Confidentiality</w:t>
      </w:r>
    </w:p>
    <w:p>
      <w:r>
        <w:t>IntervieHire ensures that persons authorised to process Candidate Personal Data are bound by an appropriate obligation of confidentiality (contractual or statutory) and are subject to access on a need-to-know basis.</w:t>
      </w:r>
    </w:p>
    <w:p>
      <w:pPr>
        <w:pBdr>
          <w:bottom w:val="single" w:sz="6" w:space="1" w:color="BBBBBB"/>
        </w:pBdr>
      </w:pPr>
    </w:p>
    <w:p>
      <w:pPr>
        <w:pStyle w:val="Heading1"/>
      </w:pPr>
      <w:r>
        <w:t>5. Security of processing</w:t>
      </w:r>
    </w:p>
    <w:p>
      <w:pPr>
        <w:pStyle w:val="ListBullet"/>
      </w:pPr>
      <w:r>
        <w:t xml:space="preserve">IntervieHire implements appropriate </w:t>
      </w:r>
      <w:r>
        <w:rPr>
          <w:b/>
        </w:rPr>
        <w:t>technical and organisational measures</w:t>
      </w:r>
      <w:r>
        <w:t xml:space="preserve"> to ensure a level of security appropriate to the risk, as described in </w:t>
      </w:r>
      <w:r>
        <w:rPr>
          <w:b/>
        </w:rPr>
        <w:t>Annex 2</w:t>
      </w:r>
      <w:r>
        <w:t xml:space="preserve">, taking into account the state of the art, the costs of implementation, and the nature, scope, context and purposes of processing, including the heightened protection required for </w:t>
      </w:r>
      <w:r>
        <w:rPr>
          <w:b/>
        </w:rPr>
        <w:t>biometric / Special Category data</w:t>
      </w:r>
      <w:r>
        <w:t>.</w:t>
      </w:r>
    </w:p>
    <w:p>
      <w:pPr>
        <w:pStyle w:val="ListBullet"/>
      </w:pPr>
      <w:r>
        <w:t>IntervieHire regularly tests and reviews these measures and may update them provided the level of security is not materially reduced.</w:t>
      </w:r>
    </w:p>
    <w:p>
      <w:pPr>
        <w:pStyle w:val="ListBullet"/>
      </w:pPr>
      <w:r>
        <w:t>The Client is responsible for its own security within its use of the Services, including safeguarding account credentials and managing its Authorized Users.</w:t>
      </w:r>
    </w:p>
    <w:p>
      <w:pPr>
        <w:pBdr>
          <w:bottom w:val="single" w:sz="6" w:space="1" w:color="BBBBBB"/>
        </w:pBdr>
      </w:pPr>
    </w:p>
    <w:p>
      <w:pPr>
        <w:pStyle w:val="Heading1"/>
      </w:pPr>
      <w:r>
        <w:t>6. Sub-processors</w:t>
      </w:r>
    </w:p>
    <w:p>
      <w:pPr>
        <w:pStyle w:val="ListBullet"/>
      </w:pPr>
      <w:r>
        <w:rPr>
          <w:b/>
        </w:rPr>
        <w:t>General authorisation.</w:t>
      </w:r>
      <w:r>
        <w:t xml:space="preserve"> The Client provides </w:t>
      </w:r>
      <w:r>
        <w:rPr>
          <w:b/>
        </w:rPr>
        <w:t>general written authorisation</w:t>
      </w:r>
      <w:r>
        <w:t xml:space="preserve"> for IntervieHire to engage the Sub-processors listed in </w:t>
      </w:r>
      <w:r>
        <w:rPr>
          <w:b/>
        </w:rPr>
        <w:t>Annex 3</w:t>
      </w:r>
      <w:r>
        <w:t xml:space="preserve"> to process Candidate Personal Data, and to engage new or replacement Sub-processors in accordance with this section.</w:t>
      </w:r>
    </w:p>
    <w:p>
      <w:pPr>
        <w:pStyle w:val="ListBullet"/>
      </w:pPr>
      <w:r>
        <w:rPr>
          <w:b/>
        </w:rPr>
        <w:t>Flow-down.</w:t>
      </w:r>
      <w:r>
        <w:t xml:space="preserve"> IntervieHire imposes on each Sub-processor, by written contract, data-protection obligations </w:t>
      </w:r>
      <w:r>
        <w:rPr>
          <w:b/>
        </w:rPr>
        <w:t>no less protective</w:t>
      </w:r>
      <w:r>
        <w:t xml:space="preserve"> than those in this DPA, and remains </w:t>
      </w:r>
      <w:r>
        <w:rPr>
          <w:b/>
        </w:rPr>
        <w:t>fully liable</w:t>
      </w:r>
      <w:r>
        <w:t xml:space="preserve"> to the Client for each Sub-processor's performance.</w:t>
      </w:r>
    </w:p>
    <w:p>
      <w:pPr>
        <w:pStyle w:val="ListBullet"/>
      </w:pPr>
      <w:r>
        <w:rPr>
          <w:b/>
        </w:rPr>
        <w:t>Changes and objection.</w:t>
      </w:r>
      <w:r>
        <w:t xml:space="preserve"> IntervieHire will give the Client at least </w:t>
      </w:r>
      <w:r>
        <w:rPr>
          <w:b/>
        </w:rPr>
        <w:t>30 days'</w:t>
      </w:r>
      <w:r>
        <w:t xml:space="preserve"> prior notice (e.g. by email or in-product notice, or by updating </w:t>
      </w:r>
      <w:r>
        <w:rPr>
          <w:b/>
        </w:rPr>
        <w:t>Annex 3</w:t>
      </w:r>
      <w:r>
        <w:t xml:space="preserve"> / the Privacy Policy sub-processor list) before adding or replacing a Sub-processor. The Client may </w:t>
      </w:r>
      <w:r>
        <w:rPr>
          <w:b/>
        </w:rPr>
        <w:t>object</w:t>
      </w:r>
      <w:r>
        <w:t xml:space="preserve"> on reasonable data-protection grounds within </w:t>
      </w:r>
      <w:r>
        <w:rPr>
          <w:b/>
        </w:rPr>
        <w:t>14 days</w:t>
      </w:r>
      <w:r>
        <w:t>; the parties will work in good faith to resolve the objection, and if they cannot, the Client may terminate the affected Services as its sole remedy.</w:t>
      </w:r>
    </w:p>
    <w:p>
      <w:pPr>
        <w:pBdr>
          <w:bottom w:val="single" w:sz="6" w:space="1" w:color="BBBBBB"/>
        </w:pBdr>
      </w:pPr>
    </w:p>
    <w:p>
      <w:pPr>
        <w:pStyle w:val="Heading1"/>
      </w:pPr>
      <w:r>
        <w:t>7. Assistance to the Client</w:t>
      </w:r>
    </w:p>
    <w:p>
      <w:r>
        <w:t>Taking into account the nature of the processing and the information available to it, IntervieHire will assist the Client by:</w:t>
      </w:r>
    </w:p>
    <w:p>
      <w:pPr>
        <w:pStyle w:val="ListBullet"/>
      </w:pPr>
      <w:r>
        <w:rPr>
          <w:b/>
        </w:rPr>
        <w:t>Data-subject requests.</w:t>
      </w:r>
      <w:r>
        <w:t xml:space="preserve"> Providing appropriate technical and organisational measures, insofar as possible, to help the Client respond to requests from Data Subjects / Data Principals exercising their rights (access, correction, erasure, restriction, portability, objection, withdrawal of consent, nomination). If IntervieHire receives such a request directly, it will not respond (other than to acknowledge/redirect) and will promptly forward it to the Client, unless legally required to respond.</w:t>
      </w:r>
    </w:p>
    <w:p>
      <w:pPr>
        <w:pStyle w:val="ListBullet"/>
      </w:pPr>
      <w:r>
        <w:rPr>
          <w:b/>
        </w:rPr>
        <w:t>Compliance obligations.</w:t>
      </w:r>
      <w:r>
        <w:t xml:space="preserve"> Assisting the Client, where relevant, with </w:t>
      </w:r>
      <w:r>
        <w:rPr>
          <w:b/>
        </w:rPr>
        <w:t>security</w:t>
      </w:r>
      <w:r>
        <w:t xml:space="preserve"> (Art. 32), </w:t>
      </w:r>
      <w:r>
        <w:rPr>
          <w:b/>
        </w:rPr>
        <w:t>breach notification</w:t>
      </w:r>
      <w:r>
        <w:t xml:space="preserve"> to Supervisory Authorities / the DPBI and affected Data Subjects (Arts. 33–34), </w:t>
      </w:r>
      <w:r>
        <w:rPr>
          <w:b/>
        </w:rPr>
        <w:t>data protection impact assessments (DPIAs)</w:t>
      </w:r>
      <w:r>
        <w:t xml:space="preserve"> (Art. 35), and </w:t>
      </w:r>
      <w:r>
        <w:rPr>
          <w:b/>
        </w:rPr>
        <w:t>prior consultation</w:t>
      </w:r>
      <w:r>
        <w:t xml:space="preserve"> with a Supervisory Authority (Art. 36), in each case in respect of the processing under this DPA.</w:t>
      </w:r>
    </w:p>
    <w:p>
      <w:pPr>
        <w:pBdr>
          <w:bottom w:val="single" w:sz="6" w:space="1" w:color="BBBBBB"/>
        </w:pBdr>
      </w:pPr>
    </w:p>
    <w:p>
      <w:pPr>
        <w:pStyle w:val="Heading1"/>
      </w:pPr>
      <w:r>
        <w:t>8. Personal Data Breach</w:t>
      </w:r>
    </w:p>
    <w:p>
      <w:pPr>
        <w:pStyle w:val="ListBullet"/>
      </w:pPr>
      <w:r>
        <w:rPr>
          <w:b/>
        </w:rPr>
        <w:t>Notification to the Client.</w:t>
      </w:r>
      <w:r>
        <w:t xml:space="preserve"> IntervieHire will notify the Client </w:t>
      </w:r>
      <w:r>
        <w:rPr>
          <w:b/>
        </w:rPr>
        <w:t>without undue delay, and in any event within 48 hours</w:t>
      </w:r>
      <w:r>
        <w:t>, after becoming aware of a Personal Data Breach affecting Candidate Personal Data (sooner where needed to let the Client meet its own 72-hour authority-notification deadline).</w:t>
      </w:r>
    </w:p>
    <w:p>
      <w:pPr>
        <w:pStyle w:val="ListBullet"/>
      </w:pPr>
      <w:r>
        <w:rPr>
          <w:b/>
        </w:rPr>
        <w:t>Contents.</w:t>
      </w:r>
      <w:r>
        <w:t xml:space="preserve"> The notification will describe, to the extent known: the nature of the breach and the categories and approximate number of Data Subjects and records concerned; the likely consequences; and the measures taken or proposed to address it and mitigate harm. Where all information cannot be provided at once, it will be provided in phases without undue further delay.</w:t>
      </w:r>
    </w:p>
    <w:p>
      <w:pPr>
        <w:pStyle w:val="ListBullet"/>
      </w:pPr>
      <w:r>
        <w:rPr>
          <w:b/>
        </w:rPr>
        <w:t>Client responsibility.</w:t>
      </w:r>
      <w:r>
        <w:t xml:space="preserve"> As Controller, the Client is responsible for any notifications it must make to Supervisory Authorities / the DPBI and to affected Data Subjects. IntervieHire will provide reasonable cooperation and support.</w:t>
      </w:r>
    </w:p>
    <w:p>
      <w:pPr>
        <w:pBdr>
          <w:bottom w:val="single" w:sz="6" w:space="1" w:color="BBBBBB"/>
        </w:pBdr>
      </w:pPr>
    </w:p>
    <w:p>
      <w:pPr>
        <w:pStyle w:val="Heading1"/>
      </w:pPr>
      <w:r>
        <w:t>9. International transfers</w:t>
      </w:r>
    </w:p>
    <w:p>
      <w:pPr>
        <w:pStyle w:val="ListBullet"/>
      </w:pPr>
      <w:r>
        <w:rPr>
          <w:b/>
        </w:rPr>
        <w:t>Instruction and mechanism.</w:t>
      </w:r>
      <w:r>
        <w:t xml:space="preserve"> The Client instructs and authorises IntervieHire and its Sub-processors to transfer and process Candidate Personal Data outside the country of origin as necessary to provide the Services, including in the locations identified in </w:t>
      </w:r>
      <w:r>
        <w:rPr>
          <w:b/>
        </w:rPr>
        <w:t>Annex 3</w:t>
      </w:r>
      <w:r>
        <w:t>.</w:t>
      </w:r>
    </w:p>
    <w:p>
      <w:pPr>
        <w:pStyle w:val="ListBullet"/>
      </w:pPr>
      <w:r>
        <w:rPr>
          <w:b/>
        </w:rPr>
        <w:t>EU/EEA/UK data.</w:t>
      </w:r>
      <w:r>
        <w:t xml:space="preserve"> Where Candidate Personal Data of Data Subjects in the EU/EEA/UK is transferred to a country without an adequacy decision, the parties agree that the </w:t>
      </w:r>
      <w:r>
        <w:rPr>
          <w:b/>
        </w:rPr>
        <w:t>SCCs</w:t>
      </w:r>
      <w:r>
        <w:t xml:space="preserve"> (and, for UK data, the </w:t>
      </w:r>
      <w:r>
        <w:rPr>
          <w:b/>
        </w:rPr>
        <w:t>UK IDTA</w:t>
      </w:r>
      <w:r>
        <w:t xml:space="preserve">) are </w:t>
      </w:r>
      <w:r>
        <w:rPr>
          <w:b/>
        </w:rPr>
        <w:t>incorporated into this DPA by reference</w:t>
      </w:r>
      <w:r>
        <w:t xml:space="preserve"> and apply to that transfer, with the module and annexes completed as set out in </w:t>
      </w:r>
      <w:r>
        <w:rPr>
          <w:b/>
        </w:rPr>
        <w:t>Annex 4</w:t>
      </w:r>
      <w:r>
        <w:t xml:space="preserve">. If there is any conflict between the SCCs and this DPA, the </w:t>
      </w:r>
      <w:r>
        <w:rPr>
          <w:b/>
        </w:rPr>
        <w:t>SCCs prevail</w:t>
      </w:r>
      <w:r>
        <w:t xml:space="preserve"> for the transfer they govern.</w:t>
      </w:r>
    </w:p>
    <w:p>
      <w:pPr>
        <w:pStyle w:val="ListBullet"/>
      </w:pPr>
      <w:r>
        <w:rPr>
          <w:b/>
        </w:rPr>
        <w:t>India data.</w:t>
      </w:r>
      <w:r>
        <w:t xml:space="preserve"> Under the DPDP Act, transfers are permitted to countries not restricted by the Central Government; IntervieHire remains responsible for Candidate Personal Data after transfer and discloses all cross-border recipients in </w:t>
      </w:r>
      <w:r>
        <w:rPr>
          <w:b/>
        </w:rPr>
        <w:t>Annex 3</w:t>
      </w:r>
      <w:r>
        <w:t>.</w:t>
      </w:r>
    </w:p>
    <w:p>
      <w:pPr>
        <w:pBdr>
          <w:bottom w:val="single" w:sz="6" w:space="1" w:color="BBBBBB"/>
        </w:pBdr>
      </w:pPr>
    </w:p>
    <w:p>
      <w:pPr>
        <w:pStyle w:val="Heading1"/>
      </w:pPr>
      <w:r>
        <w:t>10. Client obligations</w:t>
      </w:r>
    </w:p>
    <w:p>
      <w:r>
        <w:t>The Client, as Controller / Data Fiduciary, warrants and undertakes that:</w:t>
      </w:r>
    </w:p>
    <w:p>
      <w:pPr>
        <w:pStyle w:val="ListBullet"/>
      </w:pPr>
      <w:r>
        <w:t xml:space="preserve">it has a valid </w:t>
      </w:r>
      <w:r>
        <w:rPr>
          <w:b/>
        </w:rPr>
        <w:t>lawful basis</w:t>
      </w:r>
      <w:r>
        <w:t xml:space="preserve"> (and, for biometric/Special Category data and other consent-based processing, valid </w:t>
      </w:r>
      <w:r>
        <w:rPr>
          <w:b/>
        </w:rPr>
        <w:t>explicit consent</w:t>
      </w:r>
      <w:r>
        <w:t xml:space="preserve"> or another applicable condition) for the processing it instructs;</w:t>
      </w:r>
    </w:p>
    <w:p>
      <w:pPr>
        <w:pStyle w:val="ListBullet"/>
      </w:pPr>
      <w:r>
        <w:t xml:space="preserve">it has provided all required </w:t>
      </w:r>
      <w:r>
        <w:rPr>
          <w:b/>
        </w:rPr>
        <w:t>notices</w:t>
      </w:r>
      <w:r>
        <w:t xml:space="preserve"> to, and obtained all required </w:t>
      </w:r>
      <w:r>
        <w:rPr>
          <w:b/>
        </w:rPr>
        <w:t>consents</w:t>
      </w:r>
      <w:r>
        <w:t xml:space="preserve"> from, its candidates for the collection, recording, transcription, biometric/proctoring processing, AI evaluation, and cross-border transfer performed via the Services;</w:t>
      </w:r>
    </w:p>
    <w:p>
      <w:pPr>
        <w:pStyle w:val="ListBullet"/>
      </w:pPr>
      <w:r>
        <w:t>its instructions and its Client Content comply with Applicable Data Protection Law; and</w:t>
      </w:r>
    </w:p>
    <w:p>
      <w:pPr>
        <w:pStyle w:val="ListBullet"/>
      </w:pPr>
      <w:r>
        <w:t>it will not instruct processing for any purpose prohibited by law (including using biometric data to infer emotions or protected characteristics where prohibited).</w:t>
      </w:r>
    </w:p>
    <w:p>
      <w:pPr>
        <w:pBdr>
          <w:bottom w:val="single" w:sz="6" w:space="1" w:color="BBBBBB"/>
        </w:pBdr>
      </w:pPr>
    </w:p>
    <w:p>
      <w:pPr>
        <w:pStyle w:val="Heading1"/>
      </w:pPr>
      <w:r>
        <w:t>11. Audit and records</w:t>
      </w:r>
    </w:p>
    <w:p>
      <w:pPr>
        <w:pStyle w:val="ListBullet"/>
      </w:pPr>
      <w:r>
        <w:t>IntervieHire maintains records of processing carried out on the Client's behalf as required by Article 30 GDPR (where applicable).</w:t>
      </w:r>
    </w:p>
    <w:p>
      <w:pPr>
        <w:pStyle w:val="ListBullet"/>
      </w:pPr>
      <w:r>
        <w:t xml:space="preserve">IntervieHire will make available to the Client information reasonably necessary to demonstrate compliance with Article 28 GDPR and this DPA, and will allow for and contribute to </w:t>
      </w:r>
      <w:r>
        <w:rPr>
          <w:b/>
        </w:rPr>
        <w:t>audits</w:t>
      </w:r>
      <w:r>
        <w:t xml:space="preserve">, including inspections, conducted by the Client or an auditor it mandates. To minimise disruption, IntervieHire may satisfy audit requests by providing its most recent </w:t>
      </w:r>
      <w:r>
        <w:rPr>
          <w:b/>
        </w:rPr>
        <w:t>third-party certifications, audit reports, or a completed security questionnaire</w:t>
      </w:r>
      <w:r>
        <w:t xml:space="preserve">; on-site inspections are on reasonable prior notice </w:t>
      </w:r>
      <w:r>
        <w:rPr>
          <w:b/>
        </w:rPr>
        <w:t>at most once per 12 months</w:t>
      </w:r>
      <w:r>
        <w:t>, during business hours, subject to confidentiality, unless a Supervisory Authority requires otherwise or a breach has occurred.</w:t>
      </w:r>
    </w:p>
    <w:p>
      <w:pPr>
        <w:pBdr>
          <w:bottom w:val="single" w:sz="6" w:space="1" w:color="BBBBBB"/>
        </w:pBdr>
      </w:pPr>
    </w:p>
    <w:p>
      <w:pPr>
        <w:pStyle w:val="Heading1"/>
      </w:pPr>
      <w:r>
        <w:t>12. Return and deletion</w:t>
      </w:r>
    </w:p>
    <w:p>
      <w:r>
        <w:t xml:space="preserve">On termination or expiry of the Services, or earlier on the Client's written request, IntervieHire will, at the Client's choice, </w:t>
      </w:r>
      <w:r>
        <w:rPr>
          <w:b/>
        </w:rPr>
        <w:t>return and/or delete</w:t>
      </w:r>
      <w:r>
        <w:t xml:space="preserve"> all Candidate Personal Data processed on the Client's behalf, and delete existing copies, within </w:t>
      </w:r>
      <w:r>
        <w:rPr>
          <w:b/>
        </w:rPr>
        <w:t>30 days</w:t>
      </w:r>
      <w:r>
        <w:t xml:space="preserve">, unless Applicable Data Protection Law requires continued storage (including retention of </w:t>
      </w:r>
      <w:r>
        <w:rPr>
          <w:b/>
        </w:rPr>
        <w:t>security and access logs</w:t>
      </w:r>
      <w:r>
        <w:t xml:space="preserve"> required by the DPDP Rules) — in which case IntervieHire will retain only the minimum data required, for the required period, and continue to protect it under this DPA.</w:t>
      </w:r>
    </w:p>
    <w:p>
      <w:pPr>
        <w:pBdr>
          <w:bottom w:val="single" w:sz="6" w:space="1" w:color="BBBBBB"/>
        </w:pBdr>
      </w:pPr>
    </w:p>
    <w:p>
      <w:pPr>
        <w:pStyle w:val="Heading1"/>
      </w:pPr>
      <w:r>
        <w:t>13. Liability, term, and general</w:t>
      </w:r>
    </w:p>
    <w:p>
      <w:pPr>
        <w:pStyle w:val="ListBullet"/>
      </w:pPr>
      <w:r>
        <w:rPr>
          <w:b/>
        </w:rPr>
        <w:t>Liability.</w:t>
      </w:r>
      <w:r>
        <w:t xml:space="preserve"> Each party's liability arising out of or related to this DPA is subject to the </w:t>
      </w:r>
      <w:r>
        <w:rPr>
          <w:b/>
        </w:rPr>
        <w:t>limitations and exclusions of liability in the Agreement</w:t>
      </w:r>
      <w:r>
        <w:t>; this DPA does not increase those caps except to the extent Applicable Data Protection Law requires.</w:t>
      </w:r>
    </w:p>
    <w:p>
      <w:pPr>
        <w:pStyle w:val="ListBullet"/>
      </w:pPr>
      <w:r>
        <w:rPr>
          <w:b/>
        </w:rPr>
        <w:t>Term.</w:t>
      </w:r>
      <w:r>
        <w:t xml:space="preserve"> This DPA takes effect on the Effective Date and continues for as long as IntervieHire processes Candidate Personal Data on the Client's behalf under the Agreement. Provisions that by their nature should survive (including §§3–5, 8, 9, 11, 12 and this §13) survive termination.</w:t>
      </w:r>
    </w:p>
    <w:p>
      <w:pPr>
        <w:pStyle w:val="ListBullet"/>
      </w:pPr>
      <w:r>
        <w:rPr>
          <w:b/>
        </w:rPr>
        <w:t>Precedence.</w:t>
      </w:r>
      <w:r>
        <w:t xml:space="preserve"> In case of conflict on data-protection matters, the order of precedence is: (1) the SCCs (for the transfers they govern), (2) a signed order form / MSA, (3) this DPA, (4) the Agreement (Terms of Service), (5) the Privacy Policy — consistent with the order of precedence in the Agreement.</w:t>
      </w:r>
    </w:p>
    <w:p>
      <w:pPr>
        <w:pStyle w:val="ListBullet"/>
      </w:pPr>
      <w:r>
        <w:rPr>
          <w:b/>
        </w:rPr>
        <w:t>Governing law.</w:t>
      </w:r>
      <w:r>
        <w:t xml:space="preserve"> This DPA is governed by the governing law of the Agreement (</w:t>
      </w:r>
      <w:r>
        <w:rPr>
          <w:b/>
        </w:rPr>
        <w:t>India</w:t>
      </w:r>
      <w:r>
        <w:t xml:space="preserve"> by default), except where Applicable Data Protection Law or the SCCs require otherwise.</w:t>
      </w:r>
    </w:p>
    <w:p>
      <w:pPr>
        <w:pBdr>
          <w:bottom w:val="single" w:sz="6" w:space="1" w:color="BBBBBB"/>
        </w:pBdr>
      </w:pPr>
    </w:p>
    <w:p>
      <w:pPr>
        <w:pStyle w:val="Heading1"/>
      </w:pPr>
      <w:r>
        <w:t>Annex 1 — Details of the processing</w:t>
      </w:r>
    </w:p>
    <w:p>
      <w:pPr>
        <w:pStyle w:val="ListBullet"/>
      </w:pPr>
      <w:r>
        <w:rPr>
          <w:b/>
        </w:rPr>
        <w:t>Roles:</w:t>
      </w:r>
      <w:r>
        <w:t xml:space="preserve"> Client = Controller / Data Fiduciary; IntervieHire = Processor / Data Processor.</w:t>
      </w:r>
    </w:p>
    <w:p>
      <w:pPr>
        <w:pStyle w:val="ListBullet"/>
      </w:pPr>
      <w:r>
        <w:rPr>
          <w:b/>
        </w:rPr>
        <w:t>Subject matter:</w:t>
      </w:r>
      <w:r>
        <w:t xml:space="preserve"> provision of the IntervieHire AI interview and assessment Services to the Client.</w:t>
      </w:r>
    </w:p>
    <w:p>
      <w:pPr>
        <w:pStyle w:val="ListBullet"/>
      </w:pPr>
      <w:r>
        <w:rPr>
          <w:b/>
        </w:rPr>
        <w:t>Duration:</w:t>
      </w:r>
      <w:r>
        <w:t xml:space="preserve"> the term of the Agreement, plus any retention period permitted or required by law (§12).</w:t>
      </w:r>
    </w:p>
    <w:p>
      <w:pPr>
        <w:pStyle w:val="ListBullet"/>
      </w:pPr>
      <w:r>
        <w:rPr>
          <w:b/>
        </w:rPr>
        <w:t>Nature and purpose of processing:</w:t>
      </w:r>
      <w:r>
        <w:t xml:space="preserve"> collecting, hosting, storing, transcribing, transmitting, AI-evaluating (scoring answers against the Client's rubric), integrity-monitoring (proctoring), and reporting on candidate interviews, so the Client can assess and manage candidates.</w:t>
      </w:r>
    </w:p>
    <w:p>
      <w:pPr>
        <w:pStyle w:val="ListBullet"/>
      </w:pPr>
      <w:r>
        <w:rPr>
          <w:b/>
        </w:rPr>
        <w:t>Categories of Data Subjects:</w:t>
      </w:r>
      <w:r>
        <w:t xml:space="preserve"> the Client's candidates and interviewees; where provided, individuals referenced in a candidate's résumé.</w:t>
      </w:r>
    </w:p>
    <w:p>
      <w:pPr>
        <w:pStyle w:val="ListBullet"/>
      </w:pPr>
      <w:r>
        <w:rPr>
          <w:b/>
        </w:rPr>
        <w:t>Categories of Candidate Personal Data:</w:t>
      </w:r>
    </w:p>
    <w:p>
      <w:pPr>
        <w:pStyle w:val="ListBullet"/>
        <w:ind w:left="720"/>
      </w:pPr>
      <w:r>
        <w:t>identity &amp; contact data (name, email, phone);</w:t>
      </w:r>
    </w:p>
    <w:p>
      <w:pPr>
        <w:pStyle w:val="ListBullet"/>
        <w:ind w:left="720"/>
      </w:pPr>
      <w:r>
        <w:rPr>
          <w:b/>
        </w:rPr>
        <w:t>résumé/CV and parsed contents</w:t>
      </w:r>
      <w:r>
        <w:t xml:space="preserve"> (work history, education, skills, and other data in the CV);</w:t>
      </w:r>
    </w:p>
    <w:p>
      <w:pPr>
        <w:pStyle w:val="ListBullet"/>
        <w:ind w:left="720"/>
      </w:pPr>
      <w:r>
        <w:rPr>
          <w:b/>
        </w:rPr>
        <w:t>interview content</w:t>
      </w:r>
      <w:r>
        <w:t xml:space="preserve"> — answers, text transcripts, audio recordings, and session video where applicable;</w:t>
      </w:r>
    </w:p>
    <w:p>
      <w:pPr>
        <w:pStyle w:val="ListBullet"/>
        <w:ind w:left="720"/>
      </w:pPr>
      <w:r>
        <w:rPr>
          <w:b/>
        </w:rPr>
        <w:t>biometric &amp; proctoring data (Special Category / Sensitive)</w:t>
      </w:r>
      <w:r>
        <w:t xml:space="preserve"> — facial-landmark/geometry and gaze-direction data, short "violation" clips and event metadata, and voice recordings, processed with the candidate's explicit consent;</w:t>
      </w:r>
    </w:p>
    <w:p>
      <w:pPr>
        <w:pStyle w:val="ListBullet"/>
        <w:ind w:left="720"/>
      </w:pPr>
      <w:r>
        <w:rPr>
          <w:b/>
        </w:rPr>
        <w:t>AI assessment data</w:t>
      </w:r>
      <w:r>
        <w:t xml:space="preserve"> — scores, ratings, skill assessments, rubric evaluations, recommendations, and red-flag notes;</w:t>
      </w:r>
    </w:p>
    <w:p>
      <w:pPr>
        <w:pStyle w:val="ListBullet"/>
        <w:ind w:left="720"/>
      </w:pPr>
      <w:r>
        <w:t>technical &amp; usage data (IP address, device/log data) incidental to providing the Services.</w:t>
      </w:r>
    </w:p>
    <w:p>
      <w:pPr>
        <w:pStyle w:val="ListBullet"/>
      </w:pPr>
      <w:r>
        <w:rPr>
          <w:b/>
        </w:rPr>
        <w:t>Special Category / Sensitive data:</w:t>
      </w:r>
      <w:r>
        <w:t xml:space="preserve"> yes — </w:t>
      </w:r>
      <w:r>
        <w:rPr>
          <w:b/>
        </w:rPr>
        <w:t>biometric data</w:t>
      </w:r>
      <w:r>
        <w:t xml:space="preserve"> (face/gaze and voice). Given the highest protection; processed on the Client's instruction and the candidate's explicit consent.</w:t>
      </w:r>
    </w:p>
    <w:p>
      <w:pPr>
        <w:pStyle w:val="ListBullet"/>
      </w:pPr>
      <w:r>
        <w:rPr>
          <w:b/>
        </w:rPr>
        <w:t>Frequency:</w:t>
      </w:r>
      <w:r>
        <w:t xml:space="preserve"> continuous, for the duration of the Agreement.</w:t>
      </w:r>
    </w:p>
    <w:p>
      <w:pPr>
        <w:pBdr>
          <w:bottom w:val="single" w:sz="6" w:space="1" w:color="BBBBBB"/>
        </w:pBdr>
      </w:pPr>
    </w:p>
    <w:p>
      <w:pPr>
        <w:pStyle w:val="Heading1"/>
      </w:pPr>
      <w:r>
        <w:t>Annex 2 — Technical and organisational security measures</w:t>
      </w:r>
    </w:p>
    <w:p>
      <w:r>
        <w:t>IntervieHire maintains measures including, at minimum:</w:t>
      </w:r>
    </w:p>
    <w:p>
      <w:pPr>
        <w:pStyle w:val="ListBullet"/>
      </w:pPr>
      <w:r>
        <w:rPr>
          <w:b/>
        </w:rPr>
        <w:t>Encryption</w:t>
      </w:r>
      <w:r>
        <w:t xml:space="preserve"> of Candidate Personal Data </w:t>
      </w:r>
      <w:r>
        <w:rPr>
          <w:b/>
        </w:rPr>
        <w:t>in transit</w:t>
      </w:r>
      <w:r>
        <w:t xml:space="preserve"> (TLS) and </w:t>
      </w:r>
      <w:r>
        <w:rPr>
          <w:b/>
        </w:rPr>
        <w:t>at rest</w:t>
      </w:r>
      <w:r>
        <w:t>.</w:t>
      </w:r>
    </w:p>
    <w:p>
      <w:pPr>
        <w:pStyle w:val="ListBullet"/>
      </w:pPr>
      <w:r>
        <w:rPr>
          <w:b/>
        </w:rPr>
        <w:t>Access control</w:t>
      </w:r>
      <w:r>
        <w:t xml:space="preserve"> — role-based, least-privilege access; unique credentials; access limited to authorised personnel on a need-to-know basis; </w:t>
      </w:r>
      <w:r>
        <w:rPr>
          <w:b/>
        </w:rPr>
        <w:t>access logging</w:t>
      </w:r>
      <w:r>
        <w:t xml:space="preserve"> and audit trails.</w:t>
      </w:r>
    </w:p>
    <w:p>
      <w:pPr>
        <w:pStyle w:val="ListBullet"/>
      </w:pPr>
      <w:r>
        <w:rPr>
          <w:b/>
        </w:rPr>
        <w:t>Authentication</w:t>
      </w:r>
      <w:r>
        <w:t xml:space="preserve"> — secure password storage (salted hashing) for accounts; session tokens issued as secure, HTTP-only cookies.</w:t>
      </w:r>
    </w:p>
    <w:p>
      <w:pPr>
        <w:pStyle w:val="ListBullet"/>
      </w:pPr>
      <w:r>
        <w:rPr>
          <w:b/>
        </w:rPr>
        <w:t>Data minimisation</w:t>
      </w:r>
      <w:r>
        <w:t xml:space="preserve"> — identifiers are stripped/pseudonymised from the payload sent to the AI evaluation provider so that scoring uses answer text and rubric rather than candidate identity, where feasible.</w:t>
      </w:r>
    </w:p>
    <w:p>
      <w:pPr>
        <w:pStyle w:val="ListBullet"/>
      </w:pPr>
      <w:r>
        <w:rPr>
          <w:b/>
        </w:rPr>
        <w:t>Segregation &amp; tenancy</w:t>
      </w:r>
      <w:r>
        <w:t xml:space="preserve"> — logical separation of each Client's data.</w:t>
      </w:r>
    </w:p>
    <w:p>
      <w:pPr>
        <w:pStyle w:val="ListBullet"/>
      </w:pPr>
      <w:r>
        <w:rPr>
          <w:b/>
        </w:rPr>
        <w:t>Resilience</w:t>
      </w:r>
      <w:r>
        <w:t xml:space="preserve"> — backups and the ability to restore availability after an incident.</w:t>
      </w:r>
    </w:p>
    <w:p>
      <w:pPr>
        <w:pStyle w:val="ListBullet"/>
      </w:pPr>
      <w:r>
        <w:rPr>
          <w:b/>
        </w:rPr>
        <w:t>Vulnerability &amp; change management</w:t>
      </w:r>
      <w:r>
        <w:t>, secure development practices, and dependency review.</w:t>
      </w:r>
    </w:p>
    <w:p>
      <w:pPr>
        <w:pStyle w:val="ListBullet"/>
      </w:pPr>
      <w:r>
        <w:rPr>
          <w:b/>
        </w:rPr>
        <w:t>Breach detection and response</w:t>
      </w:r>
      <w:r>
        <w:t xml:space="preserve"> procedures, including the notification process in §8.</w:t>
      </w:r>
    </w:p>
    <w:p>
      <w:pPr>
        <w:pStyle w:val="ListBullet"/>
      </w:pPr>
      <w:r>
        <w:rPr>
          <w:b/>
        </w:rPr>
        <w:t>Sub-processor governance</w:t>
      </w:r>
      <w:r>
        <w:t xml:space="preserve"> — contractual flow-down and periodic review (§6).</w:t>
      </w:r>
    </w:p>
    <w:p>
      <w:pPr>
        <w:pStyle w:val="ListBullet"/>
      </w:pPr>
      <w:r>
        <w:rPr>
          <w:b/>
        </w:rPr>
        <w:t>Retention and deletion</w:t>
      </w:r>
      <w:r>
        <w:t xml:space="preserve"> controls implementing §12, including automated deletion of Candidate Personal Data when the purpose is served, while retaining security/access logs as required by law.</w:t>
      </w:r>
    </w:p>
    <w:p>
      <w:r>
        <w:rPr>
          <w:i/>
        </w:rPr>
        <w:t>(Complete/confirm this Annex against the platform's actual production configuration before signing.)</w:t>
      </w:r>
    </w:p>
    <w:p>
      <w:pPr>
        <w:pBdr>
          <w:bottom w:val="single" w:sz="6" w:space="1" w:color="BBBBBB"/>
        </w:pBdr>
      </w:pPr>
    </w:p>
    <w:p>
      <w:pPr>
        <w:pStyle w:val="Heading1"/>
      </w:pPr>
      <w:r>
        <w:t>Annex 3 — Approved Sub-processors</w:t>
      </w:r>
    </w:p>
    <w:p>
      <w:r>
        <w:t xml:space="preserve">The following Sub-processors may process Candidate Personal Data to provide the Services. This list mirrors the Privacy Policy and must be kept in sync with it. </w:t>
      </w:r>
      <w:r>
        <w:rPr>
          <w:b/>
        </w:rPr>
        <w:t>All AI providers are US/EU-based.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Sub-processor</w:t>
            </w:r>
          </w:p>
        </w:tc>
        <w:tc>
          <w:tcPr>
            <w:tcW w:type="dxa" w:w="2160"/>
          </w:tcPr>
          <w:p>
            <w:r>
              <w:rPr>
                <w:b/>
              </w:rPr>
            </w:r>
            <w:r>
              <w:rPr>
                <w:b/>
              </w:rPr>
              <w:t>Purpose</w:t>
            </w:r>
          </w:p>
        </w:tc>
        <w:tc>
          <w:tcPr>
            <w:tcW w:type="dxa" w:w="2160"/>
          </w:tcPr>
          <w:p>
            <w:r>
              <w:rPr>
                <w:b/>
              </w:rPr>
            </w:r>
            <w:r>
              <w:rPr>
                <w:b/>
              </w:rPr>
              <w:t>Data processed</w:t>
            </w:r>
          </w:p>
        </w:tc>
        <w:tc>
          <w:tcPr>
            <w:tcW w:type="dxa" w:w="2160"/>
          </w:tcPr>
          <w:p>
            <w:r>
              <w:rPr>
                <w:b/>
              </w:rPr>
            </w:r>
            <w:r>
              <w:rPr>
                <w:b/>
              </w:rPr>
              <w:t>Location</w:t>
            </w:r>
          </w:p>
        </w:tc>
      </w:tr>
      <w:tr>
        <w:tc>
          <w:tcPr>
            <w:tcW w:type="dxa" w:w="2160"/>
          </w:tcPr>
          <w:p>
            <w:r/>
            <w:r>
              <w:rPr>
                <w:b/>
              </w:rPr>
              <w:t>Supabase</w:t>
            </w:r>
          </w:p>
        </w:tc>
        <w:tc>
          <w:tcPr>
            <w:tcW w:type="dxa" w:w="2160"/>
          </w:tcPr>
          <w:p>
            <w:r/>
            <w:r>
              <w:t>Primary database / storage</w:t>
            </w:r>
          </w:p>
        </w:tc>
        <w:tc>
          <w:tcPr>
            <w:tcW w:type="dxa" w:w="2160"/>
          </w:tcPr>
          <w:p>
            <w:r/>
            <w:r>
              <w:t>All stored Candidate Personal Data</w:t>
            </w:r>
          </w:p>
        </w:tc>
        <w:tc>
          <w:tcPr>
            <w:tcW w:type="dxa" w:w="2160"/>
          </w:tcPr>
          <w:p>
            <w:r/>
            <w:r>
              <w:t>US / EU region</w:t>
            </w:r>
          </w:p>
        </w:tc>
      </w:tr>
      <w:tr>
        <w:tc>
          <w:tcPr>
            <w:tcW w:type="dxa" w:w="2160"/>
          </w:tcPr>
          <w:p>
            <w:r/>
            <w:r>
              <w:rPr>
                <w:b/>
              </w:rPr>
              <w:t>Render</w:t>
            </w:r>
          </w:p>
        </w:tc>
        <w:tc>
          <w:tcPr>
            <w:tcW w:type="dxa" w:w="2160"/>
          </w:tcPr>
          <w:p>
            <w:r/>
            <w:r>
              <w:t>Backend / application hosting</w:t>
            </w:r>
          </w:p>
        </w:tc>
        <w:tc>
          <w:tcPr>
            <w:tcW w:type="dxa" w:w="2160"/>
          </w:tcPr>
          <w:p>
            <w:r/>
            <w:r>
              <w:t>Data in processing/transit</w:t>
            </w:r>
          </w:p>
        </w:tc>
        <w:tc>
          <w:tcPr>
            <w:tcW w:type="dxa" w:w="2160"/>
          </w:tcPr>
          <w:p>
            <w:r/>
            <w:r>
              <w:t>US</w:t>
            </w:r>
          </w:p>
        </w:tc>
      </w:tr>
      <w:tr>
        <w:tc>
          <w:tcPr>
            <w:tcW w:type="dxa" w:w="2160"/>
          </w:tcPr>
          <w:p>
            <w:r/>
            <w:r>
              <w:rPr>
                <w:b/>
              </w:rPr>
              <w:t>Vercel</w:t>
            </w:r>
          </w:p>
        </w:tc>
        <w:tc>
          <w:tcPr>
            <w:tcW w:type="dxa" w:w="2160"/>
          </w:tcPr>
          <w:p>
            <w:r/>
            <w:r>
              <w:t>Front-end / edge hosting</w:t>
            </w:r>
          </w:p>
        </w:tc>
        <w:tc>
          <w:tcPr>
            <w:tcW w:type="dxa" w:w="2160"/>
          </w:tcPr>
          <w:p>
            <w:r/>
            <w:r>
              <w:t>Technical + form data</w:t>
            </w:r>
          </w:p>
        </w:tc>
        <w:tc>
          <w:tcPr>
            <w:tcW w:type="dxa" w:w="2160"/>
          </w:tcPr>
          <w:p>
            <w:r/>
            <w:r>
              <w:t>US</w:t>
            </w:r>
          </w:p>
        </w:tc>
      </w:tr>
      <w:tr>
        <w:tc>
          <w:tcPr>
            <w:tcW w:type="dxa" w:w="2160"/>
          </w:tcPr>
          <w:p>
            <w:r/>
            <w:r>
              <w:rPr>
                <w:b/>
              </w:rPr>
              <w:t>[AI evaluation provider — name it, e.g. Anthropic / OpenAI / Azure OpenAI]</w:t>
            </w:r>
          </w:p>
        </w:tc>
        <w:tc>
          <w:tcPr>
            <w:tcW w:type="dxa" w:w="2160"/>
          </w:tcPr>
          <w:p>
            <w:r/>
            <w:r>
              <w:t>AI scoring of answers &amp; résumé parsing</w:t>
            </w:r>
          </w:p>
        </w:tc>
        <w:tc>
          <w:tcPr>
            <w:tcW w:type="dxa" w:w="2160"/>
          </w:tcPr>
          <w:p>
            <w:r/>
            <w:r>
              <w:t>Transcripts, résumé text</w:t>
            </w:r>
          </w:p>
        </w:tc>
        <w:tc>
          <w:tcPr>
            <w:tcW w:type="dxa" w:w="2160"/>
          </w:tcPr>
          <w:p>
            <w:r/>
            <w:r>
              <w:t>US / EU</w:t>
            </w:r>
          </w:p>
        </w:tc>
      </w:tr>
      <w:tr>
        <w:tc>
          <w:tcPr>
            <w:tcW w:type="dxa" w:w="2160"/>
          </w:tcPr>
          <w:p>
            <w:r/>
            <w:r>
              <w:rPr>
                <w:b/>
              </w:rPr>
              <w:t>Deepgram</w:t>
            </w:r>
          </w:p>
        </w:tc>
        <w:tc>
          <w:tcPr>
            <w:tcW w:type="dxa" w:w="2160"/>
          </w:tcPr>
          <w:p>
            <w:r/>
            <w:r>
              <w:t>Speech-to-text</w:t>
            </w:r>
          </w:p>
        </w:tc>
        <w:tc>
          <w:tcPr>
            <w:tcW w:type="dxa" w:w="2160"/>
          </w:tcPr>
          <w:p>
            <w:r/>
            <w:r>
              <w:t>Voice audio</w:t>
            </w:r>
          </w:p>
        </w:tc>
        <w:tc>
          <w:tcPr>
            <w:tcW w:type="dxa" w:w="2160"/>
          </w:tcPr>
          <w:p>
            <w:r/>
            <w:r>
              <w:t>US</w:t>
            </w:r>
          </w:p>
        </w:tc>
      </w:tr>
      <w:tr>
        <w:tc>
          <w:tcPr>
            <w:tcW w:type="dxa" w:w="2160"/>
          </w:tcPr>
          <w:p>
            <w:r/>
            <w:r>
              <w:rPr>
                <w:b/>
              </w:rPr>
              <w:t>OpenAI (Whisper)</w:t>
            </w:r>
          </w:p>
        </w:tc>
        <w:tc>
          <w:tcPr>
            <w:tcW w:type="dxa" w:w="2160"/>
          </w:tcPr>
          <w:p>
            <w:r/>
            <w:r>
              <w:t>Speech-to-text (fallback)</w:t>
            </w:r>
          </w:p>
        </w:tc>
        <w:tc>
          <w:tcPr>
            <w:tcW w:type="dxa" w:w="2160"/>
          </w:tcPr>
          <w:p>
            <w:r/>
            <w:r>
              <w:t>Voice audio</w:t>
            </w:r>
          </w:p>
        </w:tc>
        <w:tc>
          <w:tcPr>
            <w:tcW w:type="dxa" w:w="2160"/>
          </w:tcPr>
          <w:p>
            <w:r/>
            <w:r>
              <w:t>US</w:t>
            </w:r>
          </w:p>
        </w:tc>
      </w:tr>
      <w:tr>
        <w:tc>
          <w:tcPr>
            <w:tcW w:type="dxa" w:w="2160"/>
          </w:tcPr>
          <w:p>
            <w:r/>
            <w:r>
              <w:rPr>
                <w:b/>
              </w:rPr>
              <w:t>OpenRouter</w:t>
            </w:r>
          </w:p>
        </w:tc>
        <w:tc>
          <w:tcPr>
            <w:tcW w:type="dxa" w:w="2160"/>
          </w:tcPr>
          <w:p>
            <w:r/>
            <w:r>
              <w:t>LLM routing (evaluation)</w:t>
            </w:r>
          </w:p>
        </w:tc>
        <w:tc>
          <w:tcPr>
            <w:tcW w:type="dxa" w:w="2160"/>
          </w:tcPr>
          <w:p>
            <w:r/>
            <w:r>
              <w:t>Transcripts</w:t>
            </w:r>
          </w:p>
        </w:tc>
        <w:tc>
          <w:tcPr>
            <w:tcW w:type="dxa" w:w="2160"/>
          </w:tcPr>
          <w:p>
            <w:r/>
            <w:r>
              <w:t>US</w:t>
            </w:r>
          </w:p>
        </w:tc>
      </w:tr>
      <w:tr>
        <w:tc>
          <w:tcPr>
            <w:tcW w:type="dxa" w:w="2160"/>
          </w:tcPr>
          <w:p>
            <w:r/>
            <w:r>
              <w:rPr>
                <w:b/>
              </w:rPr>
              <w:t>ElevenLabs</w:t>
            </w:r>
          </w:p>
        </w:tc>
        <w:tc>
          <w:tcPr>
            <w:tcW w:type="dxa" w:w="2160"/>
          </w:tcPr>
          <w:p>
            <w:r/>
            <w:r>
              <w:t>Text-to-speech (avatar voice)</w:t>
            </w:r>
          </w:p>
        </w:tc>
        <w:tc>
          <w:tcPr>
            <w:tcW w:type="dxa" w:w="2160"/>
          </w:tcPr>
          <w:p>
            <w:r/>
            <w:r>
              <w:t>Generated speech</w:t>
            </w:r>
          </w:p>
        </w:tc>
        <w:tc>
          <w:tcPr>
            <w:tcW w:type="dxa" w:w="2160"/>
          </w:tcPr>
          <w:p>
            <w:r/>
            <w:r>
              <w:t>US</w:t>
            </w:r>
          </w:p>
        </w:tc>
      </w:tr>
      <w:tr>
        <w:tc>
          <w:tcPr>
            <w:tcW w:type="dxa" w:w="2160"/>
          </w:tcPr>
          <w:p>
            <w:r/>
            <w:r>
              <w:rPr>
                <w:b/>
              </w:rPr>
              <w:t>Convai</w:t>
            </w:r>
          </w:p>
        </w:tc>
        <w:tc>
          <w:tcPr>
            <w:tcW w:type="dxa" w:w="2160"/>
          </w:tcPr>
          <w:p>
            <w:r/>
            <w:r>
              <w:t>AI-avatar conversation</w:t>
            </w:r>
          </w:p>
        </w:tc>
        <w:tc>
          <w:tcPr>
            <w:tcW w:type="dxa" w:w="2160"/>
          </w:tcPr>
          <w:p>
            <w:r/>
            <w:r>
              <w:t>Live voice stream</w:t>
            </w:r>
          </w:p>
        </w:tc>
        <w:tc>
          <w:tcPr>
            <w:tcW w:type="dxa" w:w="2160"/>
          </w:tcPr>
          <w:p>
            <w:r/>
            <w:r>
              <w:t>US</w:t>
            </w:r>
          </w:p>
        </w:tc>
      </w:tr>
      <w:tr>
        <w:tc>
          <w:tcPr>
            <w:tcW w:type="dxa" w:w="2160"/>
          </w:tcPr>
          <w:p>
            <w:r/>
            <w:r>
              <w:rPr>
                <w:b/>
              </w:rPr>
              <w:t>Google (Calendar)</w:t>
            </w:r>
          </w:p>
        </w:tc>
        <w:tc>
          <w:tcPr>
            <w:tcW w:type="dxa" w:w="2160"/>
          </w:tcPr>
          <w:p>
            <w:r/>
            <w:r>
              <w:t>Interview scheduling</w:t>
            </w:r>
          </w:p>
        </w:tc>
        <w:tc>
          <w:tcPr>
            <w:tcW w:type="dxa" w:w="2160"/>
          </w:tcPr>
          <w:p>
            <w:r/>
            <w:r>
              <w:t>Name, email, time</w:t>
            </w:r>
          </w:p>
        </w:tc>
        <w:tc>
          <w:tcPr>
            <w:tcW w:type="dxa" w:w="2160"/>
          </w:tcPr>
          <w:p>
            <w:r/>
            <w:r>
              <w:t>US</w:t>
            </w:r>
          </w:p>
        </w:tc>
      </w:tr>
      <w:tr>
        <w:tc>
          <w:tcPr>
            <w:tcW w:type="dxa" w:w="2160"/>
          </w:tcPr>
          <w:p>
            <w:r/>
            <w:r>
              <w:rPr>
                <w:b/>
              </w:rPr>
              <w:t>Email provider (Resend; SMTP as configured)</w:t>
            </w:r>
          </w:p>
        </w:tc>
        <w:tc>
          <w:tcPr>
            <w:tcW w:type="dxa" w:w="2160"/>
          </w:tcPr>
          <w:p>
            <w:r/>
            <w:r>
              <w:t>Transactional email (invites, scheduling, results)</w:t>
            </w:r>
          </w:p>
        </w:tc>
        <w:tc>
          <w:tcPr>
            <w:tcW w:type="dxa" w:w="2160"/>
          </w:tcPr>
          <w:p>
            <w:r/>
            <w:r>
              <w:t>Name, email, links</w:t>
            </w:r>
          </w:p>
        </w:tc>
        <w:tc>
          <w:tcPr>
            <w:tcW w:type="dxa" w:w="2160"/>
          </w:tcPr>
          <w:p>
            <w:r/>
            <w:r>
              <w:t>US</w:t>
            </w:r>
          </w:p>
        </w:tc>
      </w:tr>
      <w:tr>
        <w:tc>
          <w:tcPr>
            <w:tcW w:type="dxa" w:w="2160"/>
          </w:tcPr>
          <w:p>
            <w:r/>
            <w:r>
              <w:rPr>
                <w:b/>
              </w:rPr>
              <w:t>Google Gemini / Groq / xAI (Grok)</w:t>
            </w:r>
          </w:p>
        </w:tc>
        <w:tc>
          <w:tcPr>
            <w:tcW w:type="dxa" w:w="2160"/>
          </w:tcPr>
          <w:p>
            <w:r/>
            <w:r>
              <w:t>AI evaluation fallbacks</w:t>
            </w:r>
          </w:p>
        </w:tc>
        <w:tc>
          <w:tcPr>
            <w:tcW w:type="dxa" w:w="2160"/>
          </w:tcPr>
          <w:p>
            <w:r/>
            <w:r>
              <w:t>Transcripts, résumé text</w:t>
            </w:r>
          </w:p>
        </w:tc>
        <w:tc>
          <w:tcPr>
            <w:tcW w:type="dxa" w:w="2160"/>
          </w:tcPr>
          <w:p>
            <w:r/>
            <w:r>
              <w:t>US</w:t>
            </w:r>
          </w:p>
        </w:tc>
      </w:tr>
    </w:tbl>
    <w:p>
      <w:r>
        <w:rPr>
          <w:i/>
        </w:rPr>
        <w:t>(Confirm the exact list and the named primary AI provider before signing; do not leave a placeholder in a signed DPA.)</w:t>
      </w:r>
    </w:p>
    <w:p>
      <w:pPr>
        <w:pBdr>
          <w:bottom w:val="single" w:sz="6" w:space="1" w:color="BBBBBB"/>
        </w:pBdr>
      </w:pPr>
    </w:p>
    <w:p>
      <w:pPr>
        <w:pStyle w:val="Heading1"/>
      </w:pPr>
      <w:r>
        <w:t>Annex 4 — Standard Contractual Clauses (for EU/EEA/UK transfers)</w:t>
      </w:r>
    </w:p>
    <w:p>
      <w:r>
        <w:t>Where the SCCs apply under §9:</w:t>
      </w:r>
    </w:p>
    <w:p>
      <w:pPr>
        <w:pStyle w:val="ListBullet"/>
      </w:pPr>
      <w:r>
        <w:rPr>
          <w:b/>
        </w:rPr>
        <w:t>Module:</w:t>
      </w:r>
      <w:r>
        <w:t xml:space="preserve"> Module Two (Controller-to-Processor). </w:t>
      </w:r>
      <w:r>
        <w:rPr>
          <w:i/>
        </w:rPr>
        <w:t>(Counsel to confirm; use Module Three where a further processor is involved.)</w:t>
      </w:r>
    </w:p>
    <w:p>
      <w:pPr>
        <w:pStyle w:val="ListBullet"/>
      </w:pPr>
      <w:r>
        <w:rPr>
          <w:b/>
        </w:rPr>
        <w:t>Clause 7 (docking):</w:t>
      </w:r>
      <w:r>
        <w:t xml:space="preserve"> [included / not included].</w:t>
      </w:r>
    </w:p>
    <w:p>
      <w:pPr>
        <w:pStyle w:val="ListBullet"/>
      </w:pPr>
      <w:r>
        <w:rPr>
          <w:b/>
        </w:rPr>
        <w:t>Clause 9 (sub-processors):</w:t>
      </w:r>
      <w:r>
        <w:t xml:space="preserve"> Option 2 (general written authorisation); notice period as in §6.</w:t>
      </w:r>
    </w:p>
    <w:p>
      <w:pPr>
        <w:pStyle w:val="ListBullet"/>
      </w:pPr>
      <w:r>
        <w:rPr>
          <w:b/>
        </w:rPr>
        <w:t>Clause 11 (redress):</w:t>
      </w:r>
      <w:r>
        <w:t xml:space="preserve"> optional independent-dispute clause [not] included.</w:t>
      </w:r>
    </w:p>
    <w:p>
      <w:pPr>
        <w:pStyle w:val="ListBullet"/>
      </w:pPr>
      <w:r>
        <w:rPr>
          <w:b/>
        </w:rPr>
        <w:t>Clause 17 (governing law) &amp; Clause 18 (forum):</w:t>
      </w:r>
      <w:r>
        <w:t xml:space="preserve"> [EU Member State], as completed by counsel.</w:t>
      </w:r>
    </w:p>
    <w:p>
      <w:pPr>
        <w:pStyle w:val="ListBullet"/>
      </w:pPr>
      <w:r>
        <w:rPr>
          <w:b/>
        </w:rPr>
        <w:t>Annex I (parties, description of transfer):</w:t>
      </w:r>
      <w:r>
        <w:t xml:space="preserve"> as set out in </w:t>
      </w:r>
      <w:r>
        <w:rPr>
          <w:b/>
        </w:rPr>
        <w:t>Annex 1</w:t>
      </w:r>
      <w:r>
        <w:t xml:space="preserve"> above.</w:t>
      </w:r>
    </w:p>
    <w:p>
      <w:pPr>
        <w:pStyle w:val="ListBullet"/>
      </w:pPr>
      <w:r>
        <w:rPr>
          <w:b/>
        </w:rPr>
        <w:t>Annex II (technical and organisational measures):</w:t>
      </w:r>
      <w:r>
        <w:t xml:space="preserve"> as set out in </w:t>
      </w:r>
      <w:r>
        <w:rPr>
          <w:b/>
        </w:rPr>
        <w:t>Annex 2</w:t>
      </w:r>
      <w:r>
        <w:t xml:space="preserve"> above.</w:t>
      </w:r>
    </w:p>
    <w:p>
      <w:pPr>
        <w:pStyle w:val="ListBullet"/>
      </w:pPr>
      <w:r>
        <w:rPr>
          <w:b/>
        </w:rPr>
        <w:t>Annex III (sub-processors):</w:t>
      </w:r>
      <w:r>
        <w:t xml:space="preserve"> as set out in </w:t>
      </w:r>
      <w:r>
        <w:rPr>
          <w:b/>
        </w:rPr>
        <w:t>Annex 3</w:t>
      </w:r>
      <w:r>
        <w:t xml:space="preserve"> above.</w:t>
      </w:r>
    </w:p>
    <w:p>
      <w:pPr>
        <w:pStyle w:val="ListBullet"/>
      </w:pPr>
      <w:r>
        <w:rPr>
          <w:b/>
        </w:rPr>
        <w:t>UK transfers:</w:t>
      </w:r>
      <w:r>
        <w:t xml:space="preserve"> the </w:t>
      </w:r>
      <w:r>
        <w:rPr>
          <w:b/>
        </w:rPr>
        <w:t>UK IDTA</w:t>
      </w:r>
      <w:r>
        <w:t xml:space="preserve"> applies to and amends the SCCs for UK data, completed by counsel.</w:t>
      </w:r>
    </w:p>
    <w:p>
      <w:pPr>
        <w:pBdr>
          <w:bottom w:val="single" w:sz="6" w:space="1" w:color="BBBBBB"/>
        </w:pBdr>
      </w:pPr>
    </w:p>
    <w:p>
      <w:r>
        <w:rPr>
          <w:i/>
        </w:rPr>
        <w:t>This document is a template and does not constitute legal advice. It must be reviewed and approved by qualified data-protection counsel, and all placeholders completed and verified against the platform's actual data flows and security configuration, before it is signed with any customer.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