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3EAF" w14:textId="77777777" w:rsidR="00C516AA" w:rsidRPr="00CC3DFC" w:rsidRDefault="00000000">
      <w:pPr>
        <w:pStyle w:val="Title"/>
        <w:rPr>
          <w:color w:val="0D0D0D" w:themeColor="text1" w:themeTint="F2"/>
        </w:rPr>
      </w:pPr>
      <w:proofErr w:type="spellStart"/>
      <w:r w:rsidRPr="00CC3DFC">
        <w:rPr>
          <w:color w:val="0D0D0D" w:themeColor="text1" w:themeTint="F2"/>
        </w:rPr>
        <w:t>IntervieHire</w:t>
      </w:r>
      <w:proofErr w:type="spellEnd"/>
      <w:r w:rsidRPr="00CC3DFC">
        <w:rPr>
          <w:color w:val="0D0D0D" w:themeColor="text1" w:themeTint="F2"/>
        </w:rPr>
        <w:t xml:space="preserve"> — EU/EEA Compliance (combined)</w:t>
      </w:r>
    </w:p>
    <w:p w14:paraId="359A8605" w14:textId="176FDC54" w:rsidR="00CC3DFC" w:rsidRPr="00CC3DFC" w:rsidRDefault="00000000" w:rsidP="00CC3DFC">
      <w:pPr>
        <w:pStyle w:val="Quote"/>
        <w:rPr>
          <w:i w:val="0"/>
          <w:color w:val="0D0D0D" w:themeColor="text1" w:themeTint="F2"/>
        </w:rPr>
      </w:pPr>
      <w:r w:rsidRPr="00CC3DFC">
        <w:rPr>
          <w:b/>
          <w:i w:val="0"/>
          <w:color w:val="0D0D0D" w:themeColor="text1" w:themeTint="F2"/>
        </w:rPr>
        <w:t>One document, three parts, in reading order:</w:t>
      </w:r>
      <w:r w:rsidRPr="00CC3DFC">
        <w:rPr>
          <w:i w:val="0"/>
          <w:color w:val="0D0D0D" w:themeColor="text1" w:themeTint="F2"/>
        </w:rPr>
        <w:t xml:space="preserve"> </w:t>
      </w:r>
      <w:r w:rsidRPr="00CC3DFC">
        <w:rPr>
          <w:b/>
          <w:i w:val="0"/>
          <w:color w:val="0D0D0D" w:themeColor="text1" w:themeTint="F2"/>
        </w:rPr>
        <w:t>Part 1 — Concise Review Sheet</w:t>
      </w:r>
      <w:r w:rsidRPr="00CC3DFC">
        <w:rPr>
          <w:i w:val="0"/>
          <w:color w:val="0D0D0D" w:themeColor="text1" w:themeTint="F2"/>
        </w:rPr>
        <w:t xml:space="preserve"> (fast read / lawyer hand-</w:t>
      </w:r>
      <w:proofErr w:type="gramStart"/>
      <w:r w:rsidRPr="00CC3DFC">
        <w:rPr>
          <w:i w:val="0"/>
          <w:color w:val="0D0D0D" w:themeColor="text1" w:themeTint="F2"/>
        </w:rPr>
        <w:t>off) ·</w:t>
      </w:r>
      <w:proofErr w:type="gramEnd"/>
      <w:r w:rsidRPr="00CC3DFC">
        <w:rPr>
          <w:i w:val="0"/>
          <w:color w:val="0D0D0D" w:themeColor="text1" w:themeTint="F2"/>
        </w:rPr>
        <w:t xml:space="preserve"> </w:t>
      </w:r>
      <w:r w:rsidRPr="00CC3DFC">
        <w:rPr>
          <w:b/>
          <w:i w:val="0"/>
          <w:color w:val="0D0D0D" w:themeColor="text1" w:themeTint="F2"/>
        </w:rPr>
        <w:t>Part 2 — Europe: the detailed deep-dive</w:t>
      </w:r>
      <w:r w:rsidRPr="00CC3DFC">
        <w:rPr>
          <w:i w:val="0"/>
          <w:color w:val="0D0D0D" w:themeColor="text1" w:themeTint="F2"/>
        </w:rPr>
        <w:t xml:space="preserve"> (why each rule </w:t>
      </w:r>
      <w:proofErr w:type="gramStart"/>
      <w:r w:rsidRPr="00CC3DFC">
        <w:rPr>
          <w:i w:val="0"/>
          <w:color w:val="0D0D0D" w:themeColor="text1" w:themeTint="F2"/>
        </w:rPr>
        <w:t>applies) ·</w:t>
      </w:r>
      <w:proofErr w:type="gramEnd"/>
      <w:r w:rsidRPr="00CC3DFC">
        <w:rPr>
          <w:i w:val="0"/>
          <w:color w:val="0D0D0D" w:themeColor="text1" w:themeTint="F2"/>
        </w:rPr>
        <w:t xml:space="preserve"> </w:t>
      </w:r>
      <w:r w:rsidRPr="00CC3DFC">
        <w:rPr>
          <w:b/>
          <w:i w:val="0"/>
          <w:color w:val="0D0D0D" w:themeColor="text1" w:themeTint="F2"/>
        </w:rPr>
        <w:t>Part 3 — EU/EEA Compliance Plan</w:t>
      </w:r>
      <w:r w:rsidRPr="00CC3DFC">
        <w:rPr>
          <w:i w:val="0"/>
          <w:color w:val="0D0D0D" w:themeColor="text1" w:themeTint="F2"/>
        </w:rPr>
        <w:t xml:space="preserve"> (the full, ordered do-list).</w:t>
      </w:r>
    </w:p>
    <w:p w14:paraId="7412EBF0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br w:type="page"/>
      </w:r>
    </w:p>
    <w:p w14:paraId="14F25C63" w14:textId="77777777" w:rsidR="00C516AA" w:rsidRPr="00CC3DFC" w:rsidRDefault="00000000">
      <w:pPr>
        <w:pStyle w:val="Heading1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Part 1 — Concise Review Sheet</w:t>
      </w:r>
    </w:p>
    <w:p w14:paraId="30CF01BB" w14:textId="77777777" w:rsidR="00C516AA" w:rsidRPr="00CC3DFC" w:rsidRDefault="00000000">
      <w:pPr>
        <w:pStyle w:val="Quote"/>
        <w:rPr>
          <w:color w:val="0D0D0D" w:themeColor="text1" w:themeTint="F2"/>
        </w:rPr>
      </w:pPr>
      <w:r w:rsidRPr="00CC3DFC">
        <w:rPr>
          <w:b/>
          <w:i w:val="0"/>
          <w:color w:val="0D0D0D" w:themeColor="text1" w:themeTint="F2"/>
        </w:rPr>
        <w:t>Purpose:</w:t>
      </w:r>
      <w:r w:rsidRPr="00CC3DFC">
        <w:rPr>
          <w:i w:val="0"/>
          <w:color w:val="0D0D0D" w:themeColor="text1" w:themeTint="F2"/>
        </w:rPr>
        <w:t xml:space="preserve"> a one-page-ish review summary of </w:t>
      </w:r>
      <w:r w:rsidRPr="00CC3DFC">
        <w:rPr>
          <w:color w:val="0D0D0D" w:themeColor="text1" w:themeTint="F2"/>
        </w:rPr>
        <w:t>all</w:t>
      </w:r>
      <w:r w:rsidRPr="00CC3DFC">
        <w:rPr>
          <w:i w:val="0"/>
          <w:color w:val="0D0D0D" w:themeColor="text1" w:themeTint="F2"/>
        </w:rPr>
        <w:t xml:space="preserve"> EU data, for a fast read / lawyer hand-off. Detailed version: </w:t>
      </w:r>
      <w:r w:rsidRPr="00CC3DFC">
        <w:rPr>
          <w:b/>
          <w:i w:val="0"/>
          <w:color w:val="0D0D0D" w:themeColor="text1" w:themeTint="F2"/>
        </w:rPr>
        <w:t>Part 2</w:t>
      </w:r>
      <w:r w:rsidRPr="00CC3DFC">
        <w:rPr>
          <w:i w:val="0"/>
          <w:color w:val="0D0D0D" w:themeColor="text1" w:themeTint="F2"/>
        </w:rPr>
        <w:t xml:space="preserve"> below. India: </w:t>
      </w:r>
      <w:hyperlink r:id="rId6">
        <w:r w:rsidRPr="00CC3DFC">
          <w:rPr>
            <w:color w:val="0D0D0D" w:themeColor="text1" w:themeTint="F2"/>
            <w:u w:val="single"/>
          </w:rPr>
          <w:t>ROADMAP.md</w:t>
        </w:r>
      </w:hyperlink>
      <w:r w:rsidRPr="00CC3DFC">
        <w:rPr>
          <w:i w:val="0"/>
          <w:color w:val="0D0D0D" w:themeColor="text1" w:themeTint="F2"/>
        </w:rPr>
        <w:t>.</w:t>
      </w:r>
    </w:p>
    <w:p w14:paraId="10822C84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Where this product sits</w:t>
      </w:r>
    </w:p>
    <w:p w14:paraId="6CF285AA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An </w:t>
      </w:r>
      <w:r w:rsidRPr="00CC3DFC">
        <w:rPr>
          <w:b/>
          <w:color w:val="0D0D0D" w:themeColor="text1" w:themeTint="F2"/>
        </w:rPr>
        <w:t>AI hiring tool with biometric (face + voice) proctoring</w:t>
      </w:r>
      <w:r w:rsidRPr="00CC3DFC">
        <w:rPr>
          <w:color w:val="0D0D0D" w:themeColor="text1" w:themeTint="F2"/>
        </w:rPr>
        <w:t xml:space="preserve"> combines the EU's two most-regulated things: </w:t>
      </w:r>
      <w:r w:rsidRPr="00CC3DFC">
        <w:rPr>
          <w:b/>
          <w:color w:val="0D0D0D" w:themeColor="text1" w:themeTint="F2"/>
        </w:rPr>
        <w:t>special-category biometric data</w:t>
      </w:r>
      <w:r w:rsidRPr="00CC3DFC">
        <w:rPr>
          <w:color w:val="0D0D0D" w:themeColor="text1" w:themeTint="F2"/>
        </w:rPr>
        <w:t xml:space="preserve"> (GDPR) + </w:t>
      </w:r>
      <w:r w:rsidRPr="00CC3DFC">
        <w:rPr>
          <w:b/>
          <w:color w:val="0D0D0D" w:themeColor="text1" w:themeTint="F2"/>
        </w:rPr>
        <w:t>recruitment AI</w:t>
      </w:r>
      <w:r w:rsidRPr="00CC3DFC">
        <w:rPr>
          <w:color w:val="0D0D0D" w:themeColor="text1" w:themeTint="F2"/>
        </w:rPr>
        <w:t xml:space="preserve"> (AI Act high-risk). This is close to the hardest EU posture a product can have. Two features may need redesign, not just docs.</w:t>
      </w:r>
    </w:p>
    <w:p w14:paraId="2EFEB010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The map (status at a glance)</w:t>
      </w:r>
    </w:p>
    <w:tbl>
      <w:tblPr>
        <w:tblStyle w:val="LightGrid"/>
        <w:tblW w:w="0" w:type="auto"/>
        <w:tblLook w:val="0680" w:firstRow="0" w:lastRow="0" w:firstColumn="1" w:lastColumn="0" w:noHBand="1" w:noVBand="1"/>
      </w:tblPr>
      <w:tblGrid>
        <w:gridCol w:w="2160"/>
        <w:gridCol w:w="2160"/>
        <w:gridCol w:w="2160"/>
        <w:gridCol w:w="2160"/>
      </w:tblGrid>
      <w:tr w:rsidR="00C516AA" w:rsidRPr="00CC3DFC" w14:paraId="3AA662FD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B51F7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Regime</w:t>
            </w:r>
          </w:p>
        </w:tc>
        <w:tc>
          <w:tcPr>
            <w:tcW w:w="2160" w:type="dxa"/>
          </w:tcPr>
          <w:p w14:paraId="6E850746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In force?</w:t>
            </w:r>
          </w:p>
        </w:tc>
        <w:tc>
          <w:tcPr>
            <w:tcW w:w="2160" w:type="dxa"/>
          </w:tcPr>
          <w:p w14:paraId="0074E9C4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What it means for us</w:t>
            </w:r>
          </w:p>
        </w:tc>
        <w:tc>
          <w:tcPr>
            <w:tcW w:w="2160" w:type="dxa"/>
          </w:tcPr>
          <w:p w14:paraId="2038B5E2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Key date</w:t>
            </w:r>
          </w:p>
        </w:tc>
      </w:tr>
      <w:tr w:rsidR="00C516AA" w:rsidRPr="00CC3DFC" w14:paraId="2D259FC6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30589E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GDPR</w:t>
            </w:r>
          </w:p>
        </w:tc>
        <w:tc>
          <w:tcPr>
            <w:tcW w:w="2160" w:type="dxa"/>
          </w:tcPr>
          <w:p w14:paraId="05C47952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Yes (2018)</w:t>
            </w:r>
          </w:p>
        </w:tc>
        <w:tc>
          <w:tcPr>
            <w:tcW w:w="2160" w:type="dxa"/>
          </w:tcPr>
          <w:p w14:paraId="5D6F030C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Face/voice = special-category; lawful basis, DPIA, transfers, EU rep</w:t>
            </w:r>
          </w:p>
        </w:tc>
        <w:tc>
          <w:tcPr>
            <w:tcW w:w="2160" w:type="dxa"/>
          </w:tcPr>
          <w:p w14:paraId="06D4CF69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now</w:t>
            </w:r>
          </w:p>
        </w:tc>
      </w:tr>
      <w:tr w:rsidR="00C516AA" w:rsidRPr="00CC3DFC" w14:paraId="748457C2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6F445A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AI Act — prohibited practices</w:t>
            </w:r>
          </w:p>
        </w:tc>
        <w:tc>
          <w:tcPr>
            <w:tcW w:w="2160" w:type="dxa"/>
          </w:tcPr>
          <w:p w14:paraId="229DE6DF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Yes (Feb 2025)</w:t>
            </w:r>
          </w:p>
        </w:tc>
        <w:tc>
          <w:tcPr>
            <w:tcW w:w="2160" w:type="dxa"/>
          </w:tcPr>
          <w:p w14:paraId="1EAEB901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Emotion recognition in workplace = banned</w:t>
            </w:r>
          </w:p>
        </w:tc>
        <w:tc>
          <w:tcPr>
            <w:tcW w:w="2160" w:type="dxa"/>
          </w:tcPr>
          <w:p w14:paraId="2FFC137C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now</w:t>
            </w:r>
          </w:p>
        </w:tc>
      </w:tr>
      <w:tr w:rsidR="00C516AA" w:rsidRPr="00CC3DFC" w14:paraId="03850506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2793E8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AI Act — high-risk (recruitment, Annex III)</w:t>
            </w:r>
          </w:p>
        </w:tc>
        <w:tc>
          <w:tcPr>
            <w:tcW w:w="2160" w:type="dxa"/>
          </w:tcPr>
          <w:p w14:paraId="4D61EA72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 xml:space="preserve">Obligations </w:t>
            </w:r>
            <w:r w:rsidRPr="00CC3DFC">
              <w:rPr>
                <w:b/>
                <w:color w:val="0D0D0D" w:themeColor="text1" w:themeTint="F2"/>
              </w:rPr>
              <w:t>2 Dec 2027</w:t>
            </w:r>
          </w:p>
        </w:tc>
        <w:tc>
          <w:tcPr>
            <w:tcW w:w="2160" w:type="dxa"/>
          </w:tcPr>
          <w:p w14:paraId="406BF5F9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Conformity assessment, CE mark, bias testing, human oversight, EU registration</w:t>
            </w:r>
          </w:p>
        </w:tc>
        <w:tc>
          <w:tcPr>
            <w:tcW w:w="2160" w:type="dxa"/>
          </w:tcPr>
          <w:p w14:paraId="08C83424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2 Dec 2027</w:t>
            </w:r>
          </w:p>
        </w:tc>
      </w:tr>
      <w:tr w:rsidR="00C516AA" w:rsidRPr="00CC3DFC" w14:paraId="749994E4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1E76A5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ePrivacy (cookies)</w:t>
            </w:r>
          </w:p>
        </w:tc>
        <w:tc>
          <w:tcPr>
            <w:tcW w:w="2160" w:type="dxa"/>
          </w:tcPr>
          <w:p w14:paraId="28BA6C03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Yes</w:t>
            </w:r>
          </w:p>
        </w:tc>
        <w:tc>
          <w:tcPr>
            <w:tcW w:w="2160" w:type="dxa"/>
          </w:tcPr>
          <w:p w14:paraId="12CE814A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Opt-in banner for non-essential cookies/analytics</w:t>
            </w:r>
          </w:p>
        </w:tc>
        <w:tc>
          <w:tcPr>
            <w:tcW w:w="2160" w:type="dxa"/>
          </w:tcPr>
          <w:p w14:paraId="1742B154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now</w:t>
            </w:r>
          </w:p>
        </w:tc>
      </w:tr>
      <w:tr w:rsidR="00C516AA" w:rsidRPr="00CC3DFC" w14:paraId="547C952D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F1E391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Pay Transparency Dir. (2023/970)</w:t>
            </w:r>
          </w:p>
        </w:tc>
        <w:tc>
          <w:tcPr>
            <w:tcW w:w="2160" w:type="dxa"/>
          </w:tcPr>
          <w:p w14:paraId="54B40B84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Transpose by 7 Jun 2026</w:t>
            </w:r>
          </w:p>
        </w:tc>
        <w:tc>
          <w:tcPr>
            <w:tcW w:w="2160" w:type="dxa"/>
          </w:tcPr>
          <w:p w14:paraId="1A2A98A1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Salary-history ban</w:t>
            </w:r>
            <w:r w:rsidRPr="00CC3DFC">
              <w:rPr>
                <w:color w:val="0D0D0D" w:themeColor="text1" w:themeTint="F2"/>
              </w:rPr>
              <w:t xml:space="preserve"> in recruitment; pay-range disclosure</w:t>
            </w:r>
          </w:p>
        </w:tc>
        <w:tc>
          <w:tcPr>
            <w:tcW w:w="2160" w:type="dxa"/>
          </w:tcPr>
          <w:p w14:paraId="6F2E0B83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now landing</w:t>
            </w:r>
          </w:p>
        </w:tc>
      </w:tr>
      <w:tr w:rsidR="00C516AA" w:rsidRPr="00CC3DFC" w14:paraId="19E16271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73D17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UK DUAA 2025</w:t>
            </w:r>
            <w:r w:rsidRPr="00CC3DFC">
              <w:rPr>
                <w:b w:val="0"/>
                <w:color w:val="0D0D0D" w:themeColor="text1" w:themeTint="F2"/>
              </w:rPr>
              <w:t xml:space="preserve"> (if UK in scope)</w:t>
            </w:r>
          </w:p>
        </w:tc>
        <w:tc>
          <w:tcPr>
            <w:tcW w:w="2160" w:type="dxa"/>
          </w:tcPr>
          <w:p w14:paraId="58378E35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Yes (5 Feb 2026)</w:t>
            </w:r>
          </w:p>
        </w:tc>
        <w:tc>
          <w:tcPr>
            <w:tcW w:w="2160" w:type="dxa"/>
          </w:tcPr>
          <w:p w14:paraId="66576822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 xml:space="preserve">Separate, </w:t>
            </w:r>
            <w:r w:rsidRPr="00CC3DFC">
              <w:rPr>
                <w:i/>
                <w:color w:val="0D0D0D" w:themeColor="text1" w:themeTint="F2"/>
              </w:rPr>
              <w:t>more permissive</w:t>
            </w:r>
            <w:r w:rsidRPr="00CC3DFC">
              <w:rPr>
                <w:color w:val="0D0D0D" w:themeColor="text1" w:themeTint="F2"/>
              </w:rPr>
              <w:t xml:space="preserve"> ADM regime; ICO enforcing AI hiring</w:t>
            </w:r>
          </w:p>
        </w:tc>
        <w:tc>
          <w:tcPr>
            <w:tcW w:w="2160" w:type="dxa"/>
          </w:tcPr>
          <w:p w14:paraId="4242DB3C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now</w:t>
            </w:r>
          </w:p>
        </w:tc>
      </w:tr>
      <w:tr w:rsidR="00C516AA" w:rsidRPr="00CC3DFC" w14:paraId="1819750A" w14:textId="77777777" w:rsidTr="00CC3D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8A5420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Digital Omnibus</w:t>
            </w:r>
          </w:p>
        </w:tc>
        <w:tc>
          <w:tcPr>
            <w:tcW w:w="2160" w:type="dxa"/>
          </w:tcPr>
          <w:p w14:paraId="33CA4FFA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Proposal</w:t>
            </w:r>
          </w:p>
        </w:tc>
        <w:tc>
          <w:tcPr>
            <w:tcW w:w="2160" w:type="dxa"/>
          </w:tcPr>
          <w:p w14:paraId="736B0980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 xml:space="preserve">Will relax GDPR/AI Act — </w:t>
            </w:r>
            <w:r w:rsidRPr="00CC3DFC">
              <w:rPr>
                <w:i/>
                <w:color w:val="0D0D0D" w:themeColor="text1" w:themeTint="F2"/>
              </w:rPr>
              <w:t>not law yet</w:t>
            </w:r>
          </w:p>
        </w:tc>
        <w:tc>
          <w:tcPr>
            <w:tcW w:w="2160" w:type="dxa"/>
          </w:tcPr>
          <w:p w14:paraId="6C5871FA" w14:textId="77777777" w:rsidR="00C516AA" w:rsidRPr="00CC3D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watch</w:t>
            </w:r>
          </w:p>
        </w:tc>
      </w:tr>
    </w:tbl>
    <w:p w14:paraId="23ABC5CB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🚫 Showstoppers (can force product change)</w:t>
      </w:r>
    </w:p>
    <w:p w14:paraId="0FCFC953" w14:textId="77777777" w:rsidR="00C516AA" w:rsidRPr="00CC3DFC" w:rsidRDefault="00000000">
      <w:pPr>
        <w:pStyle w:val="ListNumber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Emotion recognition in the workplace is banned</w:t>
      </w:r>
      <w:r w:rsidRPr="00CC3DFC">
        <w:rPr>
          <w:color w:val="0D0D0D" w:themeColor="text1" w:themeTint="F2"/>
        </w:rPr>
        <w:t xml:space="preserve"> (AI Act Art 5(1)(f)) — inferring emotions from biometric data. </w:t>
      </w:r>
      <w:r w:rsidRPr="00CC3DFC">
        <w:rPr>
          <w:b/>
          <w:color w:val="0D0D0D" w:themeColor="text1" w:themeTint="F2"/>
        </w:rPr>
        <w:t>Verified in your code:</w:t>
      </w:r>
      <w:r w:rsidRPr="00CC3DFC">
        <w:rPr>
          <w:color w:val="0D0D0D" w:themeColor="text1" w:themeTint="F2"/>
        </w:rPr>
        <w:t xml:space="preserve"> </w:t>
      </w:r>
      <w:r w:rsidRPr="00CC3DFC">
        <w:rPr>
          <w:rFonts w:ascii="Consolas" w:hAnsi="Consolas"/>
          <w:color w:val="0D0D0D" w:themeColor="text1" w:themeTint="F2"/>
          <w:sz w:val="19"/>
        </w:rPr>
        <w:t>GAZE_AWAY</w:t>
      </w:r>
      <w:r w:rsidRPr="00CC3DFC">
        <w:rPr>
          <w:color w:val="0D0D0D" w:themeColor="text1" w:themeTint="F2"/>
        </w:rPr>
        <w:t xml:space="preserve"> is behavioural (eye </w:t>
      </w:r>
      <w:r w:rsidRPr="00CC3DFC">
        <w:rPr>
          <w:i/>
          <w:color w:val="0D0D0D" w:themeColor="text1" w:themeTint="F2"/>
        </w:rPr>
        <w:t>direction</w:t>
      </w:r>
      <w:r w:rsidRPr="00CC3DFC">
        <w:rPr>
          <w:color w:val="0D0D0D" w:themeColor="text1" w:themeTint="F2"/>
        </w:rPr>
        <w:t xml:space="preserve">), </w:t>
      </w:r>
      <w:r w:rsidRPr="00CC3DFC">
        <w:rPr>
          <w:b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emotion → OK. The avatar's </w:t>
      </w:r>
      <w:r w:rsidRPr="00CC3DFC">
        <w:rPr>
          <w:rFonts w:ascii="Consolas" w:hAnsi="Consolas"/>
          <w:color w:val="0D0D0D" w:themeColor="text1" w:themeTint="F2"/>
          <w:sz w:val="19"/>
        </w:rPr>
        <w:t>emotionState</w:t>
      </w:r>
      <w:r w:rsidRPr="00CC3DFC">
        <w:rPr>
          <w:color w:val="0D0D0D" w:themeColor="text1" w:themeTint="F2"/>
        </w:rPr>
        <w:t xml:space="preserve"> is the AI's own expression → OK. </w:t>
      </w:r>
      <w:r w:rsidRPr="00CC3DFC">
        <w:rPr>
          <w:b/>
          <w:color w:val="0D0D0D" w:themeColor="text1" w:themeTint="F2"/>
        </w:rPr>
        <w:t>Do not</w:t>
      </w:r>
      <w:r w:rsidRPr="00CC3DFC">
        <w:rPr>
          <w:color w:val="0D0D0D" w:themeColor="text1" w:themeTint="F2"/>
        </w:rPr>
        <w:t xml:space="preserve"> start labelling gaze/face as "nervous/disengaged/dishonest." Fine: ≤ €35M / 7% turnover.</w:t>
      </w:r>
    </w:p>
    <w:p w14:paraId="316B410E" w14:textId="77777777" w:rsidR="00C516AA" w:rsidRPr="00CC3DFC" w:rsidRDefault="00000000">
      <w:pPr>
        <w:pStyle w:val="ListNumber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Biometric proctoring under GDPR is precarious</w:t>
      </w:r>
      <w:r w:rsidRPr="00CC3DFC">
        <w:rPr>
          <w:color w:val="0D0D0D" w:themeColor="text1" w:themeTint="F2"/>
        </w:rPr>
        <w:t xml:space="preserve"> — special-category data; consent is weak in hiring (power imbalance); DPAs have fined facial recognition; </w:t>
      </w:r>
      <w:r w:rsidRPr="00CC3DFC">
        <w:rPr>
          <w:b/>
          <w:color w:val="0D0D0D" w:themeColor="text1" w:themeTint="F2"/>
        </w:rPr>
        <w:t>DPIA mandatory</w:t>
      </w:r>
      <w:r w:rsidRPr="00CC3DFC">
        <w:rPr>
          <w:color w:val="0D0D0D" w:themeColor="text1" w:themeTint="F2"/>
        </w:rPr>
        <w:t xml:space="preserve">. → For EU candidates, make proctoring </w:t>
      </w:r>
      <w:r w:rsidRPr="00CC3DFC">
        <w:rPr>
          <w:b/>
          <w:color w:val="0D0D0D" w:themeColor="text1" w:themeTint="F2"/>
        </w:rPr>
        <w:t>optional with a real alternative (typed interview)</w:t>
      </w:r>
      <w:r w:rsidRPr="00CC3DFC">
        <w:rPr>
          <w:color w:val="0D0D0D" w:themeColor="text1" w:themeTint="F2"/>
        </w:rPr>
        <w:t xml:space="preserve"> or </w:t>
      </w:r>
      <w:r w:rsidRPr="00CC3DFC">
        <w:rPr>
          <w:b/>
          <w:color w:val="0D0D0D" w:themeColor="text1" w:themeTint="F2"/>
        </w:rPr>
        <w:t>off by default</w:t>
      </w:r>
      <w:r w:rsidRPr="00CC3DFC">
        <w:rPr>
          <w:color w:val="0D0D0D" w:themeColor="text1" w:themeTint="F2"/>
        </w:rPr>
        <w:t>.</w:t>
      </w:r>
    </w:p>
    <w:p w14:paraId="7AAB8FFF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✅ Heavy-but-doable obligations</w:t>
      </w:r>
    </w:p>
    <w:p w14:paraId="22C028A4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AI Act high-risk programme</w:t>
      </w:r>
      <w:r w:rsidRPr="00CC3DFC">
        <w:rPr>
          <w:color w:val="0D0D0D" w:themeColor="text1" w:themeTint="F2"/>
        </w:rPr>
        <w:t xml:space="preserve"> (by ~Dec 2027): risk management, data governance + </w:t>
      </w:r>
      <w:r w:rsidRPr="00CC3DFC">
        <w:rPr>
          <w:b/>
          <w:color w:val="0D0D0D" w:themeColor="text1" w:themeTint="F2"/>
        </w:rPr>
        <w:t>bias testing</w:t>
      </w:r>
      <w:r w:rsidRPr="00CC3DFC">
        <w:rPr>
          <w:color w:val="0D0D0D" w:themeColor="text1" w:themeTint="F2"/>
        </w:rPr>
        <w:t xml:space="preserve">, technical docs, logging, </w:t>
      </w:r>
      <w:r w:rsidRPr="00CC3DFC">
        <w:rPr>
          <w:b/>
          <w:color w:val="0D0D0D" w:themeColor="text1" w:themeTint="F2"/>
        </w:rPr>
        <w:t>designed-in human oversight</w:t>
      </w:r>
      <w:r w:rsidRPr="00CC3DFC">
        <w:rPr>
          <w:color w:val="0D0D0D" w:themeColor="text1" w:themeTint="F2"/>
        </w:rPr>
        <w:t xml:space="preserve">, conformity assessment + </w:t>
      </w:r>
      <w:r w:rsidRPr="00CC3DFC">
        <w:rPr>
          <w:b/>
          <w:color w:val="0D0D0D" w:themeColor="text1" w:themeTint="F2"/>
        </w:rPr>
        <w:t>CE marking</w:t>
      </w:r>
      <w:r w:rsidRPr="00CC3DFC">
        <w:rPr>
          <w:color w:val="0D0D0D" w:themeColor="text1" w:themeTint="F2"/>
        </w:rPr>
        <w:t xml:space="preserve"> + EU database registration, post-market monitoring. </w:t>
      </w:r>
      <w:r w:rsidRPr="00CC3DFC">
        <w:rPr>
          <w:b/>
          <w:color w:val="0D0D0D" w:themeColor="text1" w:themeTint="F2"/>
        </w:rPr>
        <w:t>Label the avatar as AI</w:t>
      </w:r>
      <w:r w:rsidRPr="00CC3DFC">
        <w:rPr>
          <w:color w:val="0D0D0D" w:themeColor="text1" w:themeTint="F2"/>
        </w:rPr>
        <w:t xml:space="preserve"> (transparency).</w:t>
      </w:r>
    </w:p>
    <w:p w14:paraId="40E3F0EC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GDPR</w:t>
      </w:r>
      <w:r w:rsidRPr="00CC3DFC">
        <w:rPr>
          <w:color w:val="0D0D0D" w:themeColor="text1" w:themeTint="F2"/>
        </w:rPr>
        <w:t xml:space="preserve">: valid </w:t>
      </w:r>
      <w:r w:rsidRPr="00CC3DFC">
        <w:rPr>
          <w:b/>
          <w:color w:val="0D0D0D" w:themeColor="text1" w:themeTint="F2"/>
        </w:rPr>
        <w:t>lawful basis</w:t>
      </w:r>
      <w:r w:rsidRPr="00CC3DFC">
        <w:rPr>
          <w:color w:val="0D0D0D" w:themeColor="text1" w:themeTint="F2"/>
        </w:rPr>
        <w:t xml:space="preserve"> (likely legitimate-interest + balancing, </w:t>
      </w:r>
      <w:r w:rsidRPr="00CC3DFC">
        <w:rPr>
          <w:i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consent); </w:t>
      </w:r>
      <w:r w:rsidRPr="00CC3DFC">
        <w:rPr>
          <w:b/>
          <w:color w:val="0D0D0D" w:themeColor="text1" w:themeTint="F2"/>
        </w:rPr>
        <w:t>Art 22</w:t>
      </w:r>
      <w:r w:rsidRPr="00CC3DFC">
        <w:rPr>
          <w:color w:val="0D0D0D" w:themeColor="text1" w:themeTint="F2"/>
        </w:rPr>
        <w:t xml:space="preserve"> human-in-the-loop (no solely-automated rejection; explanation + contest); </w:t>
      </w:r>
      <w:r w:rsidRPr="00CC3DFC">
        <w:rPr>
          <w:b/>
          <w:color w:val="0D0D0D" w:themeColor="text1" w:themeTint="F2"/>
        </w:rPr>
        <w:t>DPIA</w:t>
      </w:r>
      <w:r w:rsidRPr="00CC3DFC">
        <w:rPr>
          <w:color w:val="0D0D0D" w:themeColor="text1" w:themeTint="F2"/>
        </w:rPr>
        <w:t xml:space="preserve">; </w:t>
      </w:r>
      <w:r w:rsidRPr="00CC3DFC">
        <w:rPr>
          <w:b/>
          <w:color w:val="0D0D0D" w:themeColor="text1" w:themeTint="F2"/>
        </w:rPr>
        <w:t>EU representative (Art 27)</w:t>
      </w:r>
      <w:r w:rsidRPr="00CC3DFC">
        <w:rPr>
          <w:color w:val="0D0D0D" w:themeColor="text1" w:themeTint="F2"/>
        </w:rPr>
        <w:t xml:space="preserve">; </w:t>
      </w:r>
      <w:r w:rsidRPr="00CC3DFC">
        <w:rPr>
          <w:b/>
          <w:color w:val="0D0D0D" w:themeColor="text1" w:themeTint="F2"/>
        </w:rPr>
        <w:t>DPO</w:t>
      </w:r>
      <w:r w:rsidRPr="00CC3DFC">
        <w:rPr>
          <w:color w:val="0D0D0D" w:themeColor="text1" w:themeTint="F2"/>
        </w:rPr>
        <w:t xml:space="preserve"> likely; </w:t>
      </w:r>
      <w:r w:rsidRPr="00CC3DFC">
        <w:rPr>
          <w:b/>
          <w:color w:val="0D0D0D" w:themeColor="text1" w:themeTint="F2"/>
        </w:rPr>
        <w:t>ePrivacy</w:t>
      </w:r>
      <w:r w:rsidRPr="00CC3DFC">
        <w:rPr>
          <w:color w:val="0D0D0D" w:themeColor="text1" w:themeTint="F2"/>
        </w:rPr>
        <w:t xml:space="preserve"> cookie banner; </w:t>
      </w:r>
      <w:r w:rsidRPr="00CC3DFC">
        <w:rPr>
          <w:b/>
          <w:color w:val="0D0D0D" w:themeColor="text1" w:themeTint="F2"/>
        </w:rPr>
        <w:t>breach 72h</w:t>
      </w:r>
      <w:r w:rsidRPr="00CC3DFC">
        <w:rPr>
          <w:color w:val="0D0D0D" w:themeColor="text1" w:themeTint="F2"/>
        </w:rPr>
        <w:t>; fines ≤ €20M / 4%.</w:t>
      </w:r>
    </w:p>
    <w:p w14:paraId="039E634E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Data minimisation</w:t>
      </w:r>
      <w:r w:rsidRPr="00CC3DFC">
        <w:rPr>
          <w:color w:val="0D0D0D" w:themeColor="text1" w:themeTint="F2"/>
        </w:rPr>
        <w:t xml:space="preserve"> — pseudonymise the scoring prompt (drop candidateId/name). Already on India list.</w:t>
      </w:r>
    </w:p>
    <w:p w14:paraId="6E546B71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🌍 Transfers (your stack is offshore)</w:t>
      </w:r>
    </w:p>
    <w:p w14:paraId="37AAD286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EU → US</w:t>
      </w:r>
      <w:r w:rsidRPr="00CC3DFC">
        <w:rPr>
          <w:color w:val="0D0D0D" w:themeColor="text1" w:themeTint="F2"/>
        </w:rPr>
        <w:t xml:space="preserve"> (LLM swap, Supabase/Render/Vercel, Deepgram, OpenAI): use </w:t>
      </w:r>
      <w:r w:rsidRPr="00CC3DFC">
        <w:rPr>
          <w:b/>
          <w:color w:val="0D0D0D" w:themeColor="text1" w:themeTint="F2"/>
        </w:rPr>
        <w:t>DPF-certified</w:t>
      </w:r>
      <w:r w:rsidRPr="00CC3DFC">
        <w:rPr>
          <w:color w:val="0D0D0D" w:themeColor="text1" w:themeTint="F2"/>
        </w:rPr>
        <w:t xml:space="preserve"> vendors, else </w:t>
      </w:r>
      <w:r w:rsidRPr="00CC3DFC">
        <w:rPr>
          <w:b/>
          <w:color w:val="0D0D0D" w:themeColor="text1" w:themeTint="F2"/>
        </w:rPr>
        <w:t>SCCs + Transfer Impact Assessment</w:t>
      </w:r>
      <w:r w:rsidRPr="00CC3DFC">
        <w:rPr>
          <w:color w:val="0D0D0D" w:themeColor="text1" w:themeTint="F2"/>
        </w:rPr>
        <w:t xml:space="preserve">. DPF is valid in 2026 (survived </w:t>
      </w:r>
      <w:r w:rsidRPr="00CC3DFC">
        <w:rPr>
          <w:i/>
          <w:color w:val="0D0D0D" w:themeColor="text1" w:themeTint="F2"/>
        </w:rPr>
        <w:t>Latombe</w:t>
      </w:r>
      <w:r w:rsidRPr="00CC3DFC">
        <w:rPr>
          <w:color w:val="0D0D0D" w:themeColor="text1" w:themeTint="F2"/>
        </w:rPr>
        <w:t>).</w:t>
      </w:r>
    </w:p>
    <w:p w14:paraId="2F5B3DEA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EU → India</w:t>
      </w:r>
      <w:r w:rsidRPr="00CC3DFC">
        <w:rPr>
          <w:color w:val="0D0D0D" w:themeColor="text1" w:themeTint="F2"/>
        </w:rPr>
        <w:t xml:space="preserve"> (if data reaches India ops): </w:t>
      </w:r>
      <w:r w:rsidRPr="00CC3DFC">
        <w:rPr>
          <w:b/>
          <w:color w:val="0D0D0D" w:themeColor="text1" w:themeTint="F2"/>
        </w:rPr>
        <w:t>no adequacy</w:t>
      </w:r>
      <w:r w:rsidRPr="00CC3DFC">
        <w:rPr>
          <w:color w:val="0D0D0D" w:themeColor="text1" w:themeTint="F2"/>
        </w:rPr>
        <w:t xml:space="preserve"> → </w:t>
      </w:r>
      <w:r w:rsidRPr="00CC3DFC">
        <w:rPr>
          <w:b/>
          <w:color w:val="0D0D0D" w:themeColor="text1" w:themeTint="F2"/>
        </w:rPr>
        <w:t>SCCs</w:t>
      </w:r>
      <w:r w:rsidRPr="00CC3DFC">
        <w:rPr>
          <w:color w:val="0D0D0D" w:themeColor="text1" w:themeTint="F2"/>
        </w:rPr>
        <w:t xml:space="preserve"> required.</w:t>
      </w:r>
    </w:p>
    <w:p w14:paraId="5A630EAD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EU → China:</w:t>
      </w:r>
      <w:r w:rsidRPr="00CC3DFC">
        <w:rPr>
          <w:color w:val="0D0D0D" w:themeColor="text1" w:themeTint="F2"/>
        </w:rPr>
        <w:t xml:space="preserve"> no clean path → confirms the </w:t>
      </w:r>
      <w:r w:rsidRPr="00CC3DFC">
        <w:rPr>
          <w:b/>
          <w:color w:val="0D0D0D" w:themeColor="text1" w:themeTint="F2"/>
        </w:rPr>
        <w:t>DeepSeek → US</w:t>
      </w:r>
      <w:r w:rsidRPr="00CC3DFC">
        <w:rPr>
          <w:color w:val="0D0D0D" w:themeColor="text1" w:themeTint="F2"/>
        </w:rPr>
        <w:t xml:space="preserve"> swap.</w:t>
      </w:r>
    </w:p>
    <w:p w14:paraId="2536E66E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Best move:</w:t>
      </w:r>
      <w:r w:rsidRPr="00CC3DFC">
        <w:rPr>
          <w:color w:val="0D0D0D" w:themeColor="text1" w:themeTint="F2"/>
        </w:rPr>
        <w:t xml:space="preserve"> </w:t>
      </w:r>
      <w:r w:rsidRPr="00CC3DFC">
        <w:rPr>
          <w:b/>
          <w:color w:val="0D0D0D" w:themeColor="text1" w:themeTint="F2"/>
        </w:rPr>
        <w:t>host EU candidates' data in an EU Supabase region</w:t>
      </w:r>
      <w:r w:rsidRPr="00CC3DFC">
        <w:rPr>
          <w:color w:val="0D0D0D" w:themeColor="text1" w:themeTint="F2"/>
        </w:rPr>
        <w:t xml:space="preserve"> (available, unlike India) to minimise transfers.</w:t>
      </w:r>
    </w:p>
    <w:p w14:paraId="4632CCCC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🆕 Easy-to-miss, recruitment-specific</w:t>
      </w:r>
    </w:p>
    <w:p w14:paraId="25E788D9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Pay Transparency Directive</w:t>
      </w:r>
      <w:r w:rsidRPr="00CC3DFC">
        <w:rPr>
          <w:color w:val="0D0D0D" w:themeColor="text1" w:themeTint="F2"/>
        </w:rPr>
        <w:t xml:space="preserve"> — </w:t>
      </w:r>
      <w:r w:rsidRPr="00CC3DFC">
        <w:rPr>
          <w:b/>
          <w:color w:val="0D0D0D" w:themeColor="text1" w:themeTint="F2"/>
        </w:rPr>
        <w:t>don't ask candidates for salary history</w:t>
      </w:r>
      <w:r w:rsidRPr="00CC3DFC">
        <w:rPr>
          <w:color w:val="0D0D0D" w:themeColor="text1" w:themeTint="F2"/>
        </w:rPr>
        <w:t xml:space="preserve">; support pay-range info. → </w:t>
      </w:r>
      <w:r w:rsidRPr="00CC3DFC">
        <w:rPr>
          <w:b/>
          <w:color w:val="0D0D0D" w:themeColor="text1" w:themeTint="F2"/>
        </w:rPr>
        <w:t>Check your intake/application forms</w:t>
      </w:r>
      <w:r w:rsidRPr="00CC3DFC">
        <w:rPr>
          <w:color w:val="0D0D0D" w:themeColor="text1" w:themeTint="F2"/>
        </w:rPr>
        <w:t xml:space="preserve"> for a salary-history field and remove it for EU.</w:t>
      </w:r>
    </w:p>
    <w:p w14:paraId="3E79C566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UK (if in scope) is a separate regime</w:t>
      </w:r>
      <w:r w:rsidRPr="00CC3DFC">
        <w:rPr>
          <w:color w:val="0D0D0D" w:themeColor="text1" w:themeTint="F2"/>
        </w:rPr>
        <w:t xml:space="preserve"> — UK DUAA 2025 permits automated CV screening on legitimate interests </w:t>
      </w:r>
      <w:r w:rsidRPr="00CC3DFC">
        <w:rPr>
          <w:i/>
          <w:color w:val="0D0D0D" w:themeColor="text1" w:themeTint="F2"/>
        </w:rPr>
        <w:t>with</w:t>
      </w:r>
      <w:r w:rsidRPr="00CC3DFC">
        <w:rPr>
          <w:color w:val="0D0D0D" w:themeColor="text1" w:themeTint="F2"/>
        </w:rPr>
        <w:t xml:space="preserve"> transparency + human review + right to contest; </w:t>
      </w:r>
      <w:r w:rsidRPr="00CC3DFC">
        <w:rPr>
          <w:b/>
          <w:color w:val="0D0D0D" w:themeColor="text1" w:themeTint="F2"/>
        </w:rPr>
        <w:t>ICO is actively enforcing</w:t>
      </w:r>
      <w:r w:rsidRPr="00CC3DFC">
        <w:rPr>
          <w:color w:val="0D0D0D" w:themeColor="text1" w:themeTint="F2"/>
        </w:rPr>
        <w:t xml:space="preserve"> (found most AI-hiring employers non-compliant). UK uses the </w:t>
      </w:r>
      <w:r w:rsidRPr="00CC3DFC">
        <w:rPr>
          <w:b/>
          <w:color w:val="0D0D0D" w:themeColor="text1" w:themeTint="F2"/>
        </w:rPr>
        <w:t>UK-US Data Bridge</w:t>
      </w:r>
      <w:r w:rsidRPr="00CC3DFC">
        <w:rPr>
          <w:color w:val="0D0D0D" w:themeColor="text1" w:themeTint="F2"/>
        </w:rPr>
        <w:t xml:space="preserve"> for US transfers. UK is </w:t>
      </w:r>
      <w:r w:rsidRPr="00CC3DFC">
        <w:rPr>
          <w:b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under the EU AI Act (principles-based + ICO guidance instead).</w:t>
      </w:r>
    </w:p>
    <w:p w14:paraId="6096A85A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⏳ In flux — Digital Omnibus (proposal, 19 Nov 2025) — do NOT rely on yet</w:t>
      </w:r>
    </w:p>
    <w:p w14:paraId="0EC57DC8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The Commission proposed major simplifications. </w:t>
      </w:r>
      <w:r w:rsidRPr="00CC3DFC">
        <w:rPr>
          <w:b/>
          <w:color w:val="0D0D0D" w:themeColor="text1" w:themeTint="F2"/>
        </w:rPr>
        <w:t>Still a proposal; current GDPR applies until enacted.</w:t>
      </w:r>
      <w:r w:rsidRPr="00CC3DFC">
        <w:rPr>
          <w:color w:val="0D0D0D" w:themeColor="text1" w:themeTint="F2"/>
        </w:rPr>
        <w:t xml:space="preserve"> Watch — it would: narrow the </w:t>
      </w:r>
      <w:r w:rsidRPr="00CC3DFC">
        <w:rPr>
          <w:b/>
          <w:color w:val="0D0D0D" w:themeColor="text1" w:themeTint="F2"/>
        </w:rPr>
        <w:t>"personal data"</w:t>
      </w:r>
      <w:r w:rsidRPr="00CC3DFC">
        <w:rPr>
          <w:color w:val="0D0D0D" w:themeColor="text1" w:themeTint="F2"/>
        </w:rPr>
        <w:t xml:space="preserve"> definition (pseudonymised data may exit scope for one holder); make cookies </w:t>
      </w:r>
      <w:r w:rsidRPr="00CC3DFC">
        <w:rPr>
          <w:b/>
          <w:color w:val="0D0D0D" w:themeColor="text1" w:themeTint="F2"/>
        </w:rPr>
        <w:t>single-click</w:t>
      </w:r>
      <w:r w:rsidRPr="00CC3DFC">
        <w:rPr>
          <w:color w:val="0D0D0D" w:themeColor="text1" w:themeTint="F2"/>
        </w:rPr>
        <w:t xml:space="preserve"> + 6-month moratorium; extend breach reporting </w:t>
      </w:r>
      <w:r w:rsidRPr="00CC3DFC">
        <w:rPr>
          <w:b/>
          <w:color w:val="0D0D0D" w:themeColor="text1" w:themeTint="F2"/>
        </w:rPr>
        <w:t>72h → 96h</w:t>
      </w:r>
      <w:r w:rsidRPr="00CC3DFC">
        <w:rPr>
          <w:color w:val="0D0D0D" w:themeColor="text1" w:themeTint="F2"/>
        </w:rPr>
        <w:t xml:space="preserve"> and only for </w:t>
      </w:r>
      <w:r w:rsidRPr="00CC3DFC">
        <w:rPr>
          <w:b/>
          <w:color w:val="0D0D0D" w:themeColor="text1" w:themeTint="F2"/>
        </w:rPr>
        <w:t>high-risk</w:t>
      </w:r>
      <w:r w:rsidRPr="00CC3DFC">
        <w:rPr>
          <w:color w:val="0D0D0D" w:themeColor="text1" w:themeTint="F2"/>
        </w:rPr>
        <w:t xml:space="preserve"> breaches; </w:t>
      </w:r>
      <w:r w:rsidRPr="00CC3DFC">
        <w:rPr>
          <w:b/>
          <w:color w:val="0D0D0D" w:themeColor="text1" w:themeTint="F2"/>
        </w:rPr>
        <w:t>relax automated-decision</w:t>
      </w:r>
      <w:r w:rsidRPr="00CC3DFC">
        <w:rPr>
          <w:color w:val="0D0D0D" w:themeColor="text1" w:themeTint="F2"/>
        </w:rPr>
        <w:t xml:space="preserve"> restrictions. The </w:t>
      </w:r>
      <w:r w:rsidRPr="00CC3DFC">
        <w:rPr>
          <w:b/>
          <w:color w:val="0D0D0D" w:themeColor="text1" w:themeTint="F2"/>
        </w:rPr>
        <w:t>AI Act high-risk delay to 2 Dec 2027</w:t>
      </w:r>
      <w:r w:rsidRPr="00CC3DFC">
        <w:rPr>
          <w:color w:val="0D0D0D" w:themeColor="text1" w:themeTint="F2"/>
        </w:rPr>
        <w:t xml:space="preserve"> (Parliament-endorsed 16 Jun 2026, adoption expected ~Jul 2026) is the firmest piece. → </w:t>
      </w:r>
      <w:r w:rsidRPr="00CC3DFC">
        <w:rPr>
          <w:b/>
          <w:color w:val="0D0D0D" w:themeColor="text1" w:themeTint="F2"/>
        </w:rPr>
        <w:t>Don't follow the 96h/relaxed-ADM rules yet, and don't bank on them; build to current GDPR.</w:t>
      </w:r>
    </w:p>
    <w:p w14:paraId="49772983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Corrections incorporated (vs. earlier drafts)</w:t>
      </w:r>
    </w:p>
    <w:p w14:paraId="7B8067D8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Added</w:t>
      </w:r>
      <w:r w:rsidRPr="00CC3DFC">
        <w:rPr>
          <w:color w:val="0D0D0D" w:themeColor="text1" w:themeTint="F2"/>
        </w:rPr>
        <w:t xml:space="preserve"> Pay Transparency Directive (salary-history ban) — was missing.</w:t>
      </w:r>
    </w:p>
    <w:p w14:paraId="081CC0D5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Upgraded</w:t>
      </w:r>
      <w:r w:rsidRPr="00CC3DFC">
        <w:rPr>
          <w:color w:val="0D0D0D" w:themeColor="text1" w:themeTint="F2"/>
        </w:rPr>
        <w:t xml:space="preserve"> the UK note to the DUAA 2025 regime + ICO enforcement — was a one-liner.</w:t>
      </w:r>
    </w:p>
    <w:p w14:paraId="521E6C7E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Added</w:t>
      </w:r>
      <w:r w:rsidRPr="00CC3DFC">
        <w:rPr>
          <w:color w:val="0D0D0D" w:themeColor="text1" w:themeTint="F2"/>
        </w:rPr>
        <w:t xml:space="preserve"> the Digital Omnibus "in flux" caveat (breach 96h / ADM / cookies / personal-data definition).</w:t>
      </w:r>
    </w:p>
    <w:p w14:paraId="7434F1B1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Confirmed</w:t>
      </w:r>
      <w:r w:rsidRPr="00CC3DFC">
        <w:rPr>
          <w:color w:val="0D0D0D" w:themeColor="text1" w:themeTint="F2"/>
        </w:rPr>
        <w:t xml:space="preserve"> still-current: AI Act recruitment = high-risk, 2 Dec 2027; emotion-recognition ban in force; DPF valid; India no EU adequacy; GDPR breach still </w:t>
      </w:r>
      <w:r w:rsidRPr="00CC3DFC">
        <w:rPr>
          <w:b/>
          <w:color w:val="0D0D0D" w:themeColor="text1" w:themeTint="F2"/>
        </w:rPr>
        <w:t>72h today</w:t>
      </w:r>
      <w:r w:rsidRPr="00CC3DFC">
        <w:rPr>
          <w:color w:val="0D0D0D" w:themeColor="text1" w:themeTint="F2"/>
        </w:rPr>
        <w:t>.</w:t>
      </w:r>
    </w:p>
    <w:p w14:paraId="2E28FDED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Open decisions for EU launch</w:t>
      </w:r>
    </w:p>
    <w:p w14:paraId="75A232DA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Biometric proctoring for EU: </w:t>
      </w:r>
      <w:r w:rsidRPr="00CC3DFC">
        <w:rPr>
          <w:b/>
          <w:color w:val="0D0D0D" w:themeColor="text1" w:themeTint="F2"/>
        </w:rPr>
        <w:t>off by default</w:t>
      </w:r>
      <w:r w:rsidRPr="00CC3DFC">
        <w:rPr>
          <w:color w:val="0D0D0D" w:themeColor="text1" w:themeTint="F2"/>
        </w:rPr>
        <w:t xml:space="preserve"> or </w:t>
      </w:r>
      <w:r w:rsidRPr="00CC3DFC">
        <w:rPr>
          <w:b/>
          <w:color w:val="0D0D0D" w:themeColor="text1" w:themeTint="F2"/>
        </w:rPr>
        <w:t>optional + DPIA</w:t>
      </w:r>
      <w:r w:rsidRPr="00CC3DFC">
        <w:rPr>
          <w:color w:val="0D0D0D" w:themeColor="text1" w:themeTint="F2"/>
        </w:rPr>
        <w:t>?</w:t>
      </w:r>
    </w:p>
    <w:p w14:paraId="6A85D98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EU data residency: pin EU candidates to an </w:t>
      </w:r>
      <w:r w:rsidRPr="00CC3DFC">
        <w:rPr>
          <w:b/>
          <w:color w:val="0D0D0D" w:themeColor="text1" w:themeTint="F2"/>
        </w:rPr>
        <w:t>EU Supabase region</w:t>
      </w:r>
      <w:r w:rsidRPr="00CC3DFC">
        <w:rPr>
          <w:color w:val="0D0D0D" w:themeColor="text1" w:themeTint="F2"/>
        </w:rPr>
        <w:t>?</w:t>
      </w:r>
    </w:p>
    <w:p w14:paraId="2BF694C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Confirm intake forms carry </w:t>
      </w:r>
      <w:r w:rsidRPr="00CC3DFC">
        <w:rPr>
          <w:b/>
          <w:color w:val="0D0D0D" w:themeColor="text1" w:themeTint="F2"/>
        </w:rPr>
        <w:t>no salary-history</w:t>
      </w:r>
      <w:r w:rsidRPr="00CC3DFC">
        <w:rPr>
          <w:color w:val="0D0D0D" w:themeColor="text1" w:themeTint="F2"/>
        </w:rPr>
        <w:t xml:space="preserve"> field (Pay Transparency).</w:t>
      </w:r>
    </w:p>
    <w:p w14:paraId="2DB5E7B0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Is </w:t>
      </w:r>
      <w:r w:rsidRPr="00CC3DFC">
        <w:rPr>
          <w:b/>
          <w:color w:val="0D0D0D" w:themeColor="text1" w:themeTint="F2"/>
        </w:rPr>
        <w:t>UK</w:t>
      </w:r>
      <w:r w:rsidRPr="00CC3DFC">
        <w:rPr>
          <w:color w:val="0D0D0D" w:themeColor="text1" w:themeTint="F2"/>
        </w:rPr>
        <w:t xml:space="preserve"> in scope? (separate DUAA programme if so)</w:t>
      </w:r>
    </w:p>
    <w:p w14:paraId="57ADDCDB" w14:textId="53D5E1CF" w:rsidR="00C516AA" w:rsidRPr="00CC3DFC" w:rsidRDefault="00000000" w:rsidP="00CC3DFC">
      <w:pPr>
        <w:ind w:left="360"/>
        <w:rPr>
          <w:color w:val="0D0D0D" w:themeColor="text1" w:themeTint="F2"/>
        </w:rPr>
      </w:pPr>
      <w:proofErr w:type="gramStart"/>
      <w:r w:rsidRPr="00CC3DFC">
        <w:rPr>
          <w:rFonts w:ascii="Segoe UI Symbol" w:hAnsi="Segoe UI Symbol" w:cs="Segoe UI Symbol"/>
          <w:color w:val="0D0D0D" w:themeColor="text1" w:themeTint="F2"/>
        </w:rPr>
        <w:t>☐</w:t>
      </w:r>
      <w:r w:rsidRPr="00CC3DFC">
        <w:rPr>
          <w:color w:val="0D0D0D" w:themeColor="text1" w:themeTint="F2"/>
        </w:rPr>
        <w:t xml:space="preserve">  Appoint</w:t>
      </w:r>
      <w:proofErr w:type="gramEnd"/>
      <w:r w:rsidRPr="00CC3DFC">
        <w:rPr>
          <w:color w:val="0D0D0D" w:themeColor="text1" w:themeTint="F2"/>
        </w:rPr>
        <w:t xml:space="preserve"> </w:t>
      </w:r>
      <w:r w:rsidRPr="00CC3DFC">
        <w:rPr>
          <w:b/>
          <w:color w:val="0D0D0D" w:themeColor="text1" w:themeTint="F2"/>
        </w:rPr>
        <w:t>EU representative</w:t>
      </w:r>
      <w:r w:rsidRPr="00CC3DFC">
        <w:rPr>
          <w:color w:val="0D0D0D" w:themeColor="text1" w:themeTint="F2"/>
        </w:rPr>
        <w:t xml:space="preserve">; assess </w:t>
      </w:r>
      <w:r w:rsidRPr="00CC3DFC">
        <w:rPr>
          <w:b/>
          <w:color w:val="0D0D0D" w:themeColor="text1" w:themeTint="F2"/>
        </w:rPr>
        <w:t>DPO</w:t>
      </w:r>
      <w:r w:rsidRPr="00CC3DFC">
        <w:rPr>
          <w:color w:val="0D0D0D" w:themeColor="text1" w:themeTint="F2"/>
        </w:rPr>
        <w:t>.</w:t>
      </w:r>
      <w:r w:rsidR="00CC3DFC" w:rsidRPr="00CC3DFC">
        <w:rPr>
          <w:color w:val="0D0D0D" w:themeColor="text1" w:themeTint="F2"/>
        </w:rPr>
        <w:t xml:space="preserve"> </w:t>
      </w:r>
    </w:p>
    <w:p w14:paraId="43FE9034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br w:type="page"/>
      </w:r>
    </w:p>
    <w:p w14:paraId="17EF0225" w14:textId="77777777" w:rsidR="00C516AA" w:rsidRPr="00CC3DFC" w:rsidRDefault="00000000">
      <w:pPr>
        <w:pStyle w:val="Heading1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Part 2 — Europe: the detailed deep-dive</w:t>
      </w:r>
    </w:p>
    <w:p w14:paraId="47320475" w14:textId="77777777" w:rsidR="00C516AA" w:rsidRPr="00CC3DFC" w:rsidRDefault="00000000">
      <w:pPr>
        <w:pStyle w:val="Quote"/>
        <w:rPr>
          <w:color w:val="0D0D0D" w:themeColor="text1" w:themeTint="F2"/>
        </w:rPr>
      </w:pPr>
      <w:r w:rsidRPr="00CC3DFC">
        <w:rPr>
          <w:b/>
          <w:i w:val="0"/>
          <w:color w:val="0D0D0D" w:themeColor="text1" w:themeTint="F2"/>
        </w:rPr>
        <w:t xml:space="preserve">Companion to </w:t>
      </w:r>
      <w:hyperlink r:id="rId7">
        <w:r w:rsidRPr="00CC3DFC">
          <w:rPr>
            <w:color w:val="0D0D0D" w:themeColor="text1" w:themeTint="F2"/>
            <w:u w:val="single"/>
          </w:rPr>
          <w:t>ROADMAP.md</w:t>
        </w:r>
      </w:hyperlink>
      <w:r w:rsidRPr="00CC3DFC">
        <w:rPr>
          <w:b/>
          <w:i w:val="0"/>
          <w:color w:val="0D0D0D" w:themeColor="text1" w:themeTint="F2"/>
        </w:rPr>
        <w:t xml:space="preserve"> (India).</w:t>
      </w:r>
      <w:r w:rsidRPr="00CC3DFC">
        <w:rPr>
          <w:i w:val="0"/>
          <w:color w:val="0D0D0D" w:themeColor="text1" w:themeTint="F2"/>
        </w:rPr>
        <w:t xml:space="preserve"> Read this for </w:t>
      </w:r>
      <w:r w:rsidRPr="00CC3DFC">
        <w:rPr>
          <w:color w:val="0D0D0D" w:themeColor="text1" w:themeTint="F2"/>
        </w:rPr>
        <w:t>why</w:t>
      </w:r>
      <w:r w:rsidRPr="00CC3DFC">
        <w:rPr>
          <w:i w:val="0"/>
          <w:color w:val="0D0D0D" w:themeColor="text1" w:themeTint="F2"/>
        </w:rPr>
        <w:t xml:space="preserve"> each rule applies. </w:t>
      </w:r>
      <w:r w:rsidRPr="00CC3DFC">
        <w:rPr>
          <w:b/>
          <w:i w:val="0"/>
          <w:color w:val="0D0D0D" w:themeColor="text1" w:themeTint="F2"/>
        </w:rPr>
        <w:t xml:space="preserve">The EU is materially heavier than India for </w:t>
      </w:r>
      <w:r w:rsidRPr="00CC3DFC">
        <w:rPr>
          <w:b/>
          <w:color w:val="0D0D0D" w:themeColor="text1" w:themeTint="F2"/>
        </w:rPr>
        <w:t>this</w:t>
      </w:r>
      <w:r w:rsidRPr="00CC3DFC">
        <w:rPr>
          <w:b/>
          <w:i w:val="0"/>
          <w:color w:val="0D0D0D" w:themeColor="text1" w:themeTint="F2"/>
        </w:rPr>
        <w:t xml:space="preserve"> product</w:t>
      </w:r>
      <w:r w:rsidRPr="00CC3DFC">
        <w:rPr>
          <w:i w:val="0"/>
          <w:color w:val="0D0D0D" w:themeColor="text1" w:themeTint="F2"/>
        </w:rPr>
        <w:t xml:space="preserve"> — an AI hiring tool with biometric (face + voice) proctoring sits in the EU's most-regulated zone.</w:t>
      </w:r>
    </w:p>
    <w:p w14:paraId="64E1CD20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TL;DR — two of these are potential *showstoppers*, not paperwork</w:t>
      </w:r>
    </w:p>
    <w:p w14:paraId="45872F8C" w14:textId="77777777" w:rsidR="00C516AA" w:rsidRPr="00CC3DFC" w:rsidRDefault="00000000">
      <w:pPr>
        <w:pStyle w:val="ListNumber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Emotion recognition in the workplace is BANNED</w:t>
      </w:r>
      <w:r w:rsidRPr="00CC3DFC">
        <w:rPr>
          <w:color w:val="0D0D0D" w:themeColor="text1" w:themeTint="F2"/>
        </w:rPr>
        <w:t xml:space="preserve"> (EU AI Act Art 5). If your gaze/face proctoring infers attention, engagement, stress or emotion, that is a </w:t>
      </w:r>
      <w:r w:rsidRPr="00CC3DFC">
        <w:rPr>
          <w:b/>
          <w:color w:val="0D0D0D" w:themeColor="text1" w:themeTint="F2"/>
        </w:rPr>
        <w:t>prohibited practice</w:t>
      </w:r>
      <w:r w:rsidRPr="00CC3DFC">
        <w:rPr>
          <w:color w:val="0D0D0D" w:themeColor="text1" w:themeTint="F2"/>
        </w:rPr>
        <w:t xml:space="preserve"> for EU candidates — not regulated, </w:t>
      </w:r>
      <w:r w:rsidRPr="00CC3DFC">
        <w:rPr>
          <w:i/>
          <w:color w:val="0D0D0D" w:themeColor="text1" w:themeTint="F2"/>
        </w:rPr>
        <w:t>forbidden</w:t>
      </w:r>
      <w:r w:rsidRPr="00CC3DFC">
        <w:rPr>
          <w:color w:val="0D0D0D" w:themeColor="text1" w:themeTint="F2"/>
        </w:rPr>
        <w:t>. Already in force.</w:t>
      </w:r>
    </w:p>
    <w:p w14:paraId="6E37EF6A" w14:textId="77777777" w:rsidR="00C516AA" w:rsidRPr="00CC3DFC" w:rsidRDefault="00000000">
      <w:pPr>
        <w:pStyle w:val="ListNumber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Biometric proctoring under GDPR is legally precarious.</w:t>
      </w:r>
      <w:r w:rsidRPr="00CC3DFC">
        <w:rPr>
          <w:color w:val="0D0D0D" w:themeColor="text1" w:themeTint="F2"/>
        </w:rPr>
        <w:t xml:space="preserve"> Face/voice = </w:t>
      </w:r>
      <w:r w:rsidRPr="00CC3DFC">
        <w:rPr>
          <w:i/>
          <w:color w:val="0D0D0D" w:themeColor="text1" w:themeTint="F2"/>
        </w:rPr>
        <w:t>special-category</w:t>
      </w:r>
      <w:r w:rsidRPr="00CC3DFC">
        <w:rPr>
          <w:color w:val="0D0D0D" w:themeColor="text1" w:themeTint="F2"/>
        </w:rPr>
        <w:t xml:space="preserve"> data; regulators have fined facial-recognition use and demand proportionality + a mandatory DPIA + genuine less-intrusive alternatives. May have to be </w:t>
      </w:r>
      <w:r w:rsidRPr="00CC3DFC">
        <w:rPr>
          <w:b/>
          <w:color w:val="0D0D0D" w:themeColor="text1" w:themeTint="F2"/>
        </w:rPr>
        <w:t>off by default</w:t>
      </w:r>
      <w:r w:rsidRPr="00CC3DFC">
        <w:rPr>
          <w:color w:val="0D0D0D" w:themeColor="text1" w:themeTint="F2"/>
        </w:rPr>
        <w:t xml:space="preserve"> for EU candidates.</w:t>
      </w:r>
    </w:p>
    <w:p w14:paraId="72E8A260" w14:textId="77777777" w:rsidR="00C516AA" w:rsidRPr="00CC3DFC" w:rsidRDefault="00000000">
      <w:pPr>
        <w:pStyle w:val="ListNumber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Recruitment AI = "high-risk"</w:t>
      </w:r>
      <w:r w:rsidRPr="00CC3DFC">
        <w:rPr>
          <w:color w:val="0D0D0D" w:themeColor="text1" w:themeTint="F2"/>
        </w:rPr>
        <w:t xml:space="preserve"> under the EU AI Act → heavy conformity obligations (docs, bias testing, human oversight, CE marking, EU registration). Deadline </w:t>
      </w:r>
      <w:r w:rsidRPr="00CC3DFC">
        <w:rPr>
          <w:b/>
          <w:color w:val="0D0D0D" w:themeColor="text1" w:themeTint="F2"/>
        </w:rPr>
        <w:t>~2 Dec 2027</w:t>
      </w:r>
      <w:r w:rsidRPr="00CC3DFC">
        <w:rPr>
          <w:color w:val="0D0D0D" w:themeColor="text1" w:themeTint="F2"/>
        </w:rPr>
        <w:t xml:space="preserve"> (see timeline).</w:t>
      </w:r>
    </w:p>
    <w:p w14:paraId="61AA3A3A" w14:textId="77777777" w:rsidR="00C516AA" w:rsidRPr="00CC3DFC" w:rsidRDefault="00000000">
      <w:pPr>
        <w:pStyle w:val="ListNumber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GDPR mechanics</w:t>
      </w:r>
      <w:r w:rsidRPr="00CC3DFC">
        <w:rPr>
          <w:color w:val="0D0D0D" w:themeColor="text1" w:themeTint="F2"/>
        </w:rPr>
        <w:t xml:space="preserve"> are stricter than India on automated decisions, lawful basis, transfers, and you must appoint an </w:t>
      </w:r>
      <w:r w:rsidRPr="00CC3DFC">
        <w:rPr>
          <w:b/>
          <w:color w:val="0D0D0D" w:themeColor="text1" w:themeTint="F2"/>
        </w:rPr>
        <w:t>EU representative</w:t>
      </w:r>
      <w:r w:rsidRPr="00CC3DFC">
        <w:rPr>
          <w:color w:val="0D0D0D" w:themeColor="text1" w:themeTint="F2"/>
        </w:rPr>
        <w:t>.</w:t>
      </w:r>
    </w:p>
    <w:p w14:paraId="5A88BEED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Two of these (1, 2) may require </w:t>
      </w:r>
      <w:r w:rsidRPr="00CC3DFC">
        <w:rPr>
          <w:b/>
          <w:color w:val="0D0D0D" w:themeColor="text1" w:themeTint="F2"/>
        </w:rPr>
        <w:t>turning features off or redesigning them</w:t>
      </w:r>
      <w:r w:rsidRPr="00CC3DFC">
        <w:rPr>
          <w:color w:val="0D0D0D" w:themeColor="text1" w:themeTint="F2"/>
        </w:rPr>
        <w:t xml:space="preserve"> for the EU. Plan for that.</w:t>
      </w:r>
    </w:p>
    <w:p w14:paraId="4B116D9A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Red line #1 — Emotion recognition is prohibited (EU AI Act Art 5(1)(f))</w:t>
      </w:r>
    </w:p>
    <w:p w14:paraId="76A68F2C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The AI Act </w:t>
      </w:r>
      <w:r w:rsidRPr="00CC3DFC">
        <w:rPr>
          <w:b/>
          <w:color w:val="0D0D0D" w:themeColor="text1" w:themeTint="F2"/>
        </w:rPr>
        <w:t>bans</w:t>
      </w:r>
      <w:r w:rsidRPr="00CC3DFC">
        <w:rPr>
          <w:color w:val="0D0D0D" w:themeColor="text1" w:themeTint="F2"/>
        </w:rPr>
        <w:t xml:space="preserve"> AI that infers a person's emotions in the </w:t>
      </w:r>
      <w:r w:rsidRPr="00CC3DFC">
        <w:rPr>
          <w:b/>
          <w:color w:val="0D0D0D" w:themeColor="text1" w:themeTint="F2"/>
        </w:rPr>
        <w:t>workplace or education</w:t>
      </w:r>
      <w:r w:rsidRPr="00CC3DFC">
        <w:rPr>
          <w:color w:val="0D0D0D" w:themeColor="text1" w:themeTint="F2"/>
        </w:rPr>
        <w:t xml:space="preserve"> from biometric data (narrow medical/safety exceptions only). Rationale: such systems are scientifically unreliable and discriminatory. </w:t>
      </w:r>
      <w:r w:rsidRPr="00CC3DFC">
        <w:rPr>
          <w:b/>
          <w:color w:val="0D0D0D" w:themeColor="text1" w:themeTint="F2"/>
        </w:rPr>
        <w:t>Already enforceable</w:t>
      </w:r>
      <w:r w:rsidRPr="00CC3DFC">
        <w:rPr>
          <w:color w:val="0D0D0D" w:themeColor="text1" w:themeTint="F2"/>
        </w:rPr>
        <w:t xml:space="preserve"> (prohibitions applied Feb 2025); investigations into workplace emotion recognition are reportedly underway.</w:t>
      </w:r>
    </w:p>
    <w:p w14:paraId="6ECF9034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Why it hits you:</w:t>
      </w:r>
      <w:r w:rsidRPr="00CC3DFC">
        <w:rPr>
          <w:color w:val="0D0D0D" w:themeColor="text1" w:themeTint="F2"/>
        </w:rPr>
        <w:t xml:space="preserve"> candidate assessment is very likely read as "workplace" context. If proctoring classifies "engagement", "attention", "nervousness", "confidence" etc. from face/gaze — </w:t>
      </w:r>
      <w:r w:rsidRPr="00CC3DFC">
        <w:rPr>
          <w:b/>
          <w:color w:val="0D0D0D" w:themeColor="text1" w:themeTint="F2"/>
        </w:rPr>
        <w:t>stop doing that for EU candidates.</w:t>
      </w:r>
      <w:r w:rsidRPr="00CC3DFC">
        <w:rPr>
          <w:color w:val="0D0D0D" w:themeColor="text1" w:themeTint="F2"/>
        </w:rPr>
        <w:t xml:space="preserve"> Also prohibited: </w:t>
      </w:r>
      <w:r w:rsidRPr="00CC3DFC">
        <w:rPr>
          <w:b/>
          <w:color w:val="0D0D0D" w:themeColor="text1" w:themeTint="F2"/>
        </w:rPr>
        <w:t>biometric categorisation</w:t>
      </w:r>
      <w:r w:rsidRPr="00CC3DFC">
        <w:rPr>
          <w:color w:val="0D0D0D" w:themeColor="text1" w:themeTint="F2"/>
        </w:rPr>
        <w:t xml:space="preserve"> to infer race, religion, sex life, political/union views, etc.</w:t>
      </w:r>
    </w:p>
    <w:p w14:paraId="2BDC1999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Safe design:</w:t>
      </w:r>
      <w:r w:rsidRPr="00CC3DFC">
        <w:rPr>
          <w:color w:val="0D0D0D" w:themeColor="text1" w:themeTint="F2"/>
        </w:rPr>
        <w:t xml:space="preserve"> proctoring may </w:t>
      </w:r>
      <w:r w:rsidRPr="00CC3DFC">
        <w:rPr>
          <w:i/>
          <w:color w:val="0D0D0D" w:themeColor="text1" w:themeTint="F2"/>
        </w:rPr>
        <w:t>detect events</w:t>
      </w:r>
      <w:r w:rsidRPr="00CC3DFC">
        <w:rPr>
          <w:color w:val="0D0D0D" w:themeColor="text1" w:themeTint="F2"/>
        </w:rPr>
        <w:t xml:space="preserve"> (no face, multiple faces, looking away) but must </w:t>
      </w:r>
      <w:r w:rsidRPr="00CC3DFC">
        <w:rPr>
          <w:b/>
          <w:color w:val="0D0D0D" w:themeColor="text1" w:themeTint="F2"/>
        </w:rPr>
        <w:t>not infer emotional/affective states</w:t>
      </w:r>
      <w:r w:rsidRPr="00CC3DFC">
        <w:rPr>
          <w:color w:val="0D0D0D" w:themeColor="text1" w:themeTint="F2"/>
        </w:rPr>
        <w:t>. Audit your gaze/violation logic against this line before EU launch.</w:t>
      </w:r>
    </w:p>
    <w:p w14:paraId="35CEBC0E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Verified against your code (2026-06-26):</w:t>
      </w:r>
      <w:r w:rsidRPr="00CC3DFC">
        <w:rPr>
          <w:color w:val="0D0D0D" w:themeColor="text1" w:themeTint="F2"/>
        </w:rPr>
        <w:t xml:space="preserve"> </w:t>
      </w:r>
      <w:r w:rsidRPr="00CC3DFC">
        <w:rPr>
          <w:rFonts w:ascii="Consolas" w:hAnsi="Consolas"/>
          <w:color w:val="0D0D0D" w:themeColor="text1" w:themeTint="F2"/>
          <w:sz w:val="19"/>
        </w:rPr>
        <w:t>GAZE_AWAY</w:t>
      </w:r>
      <w:r w:rsidRPr="00CC3DFC">
        <w:rPr>
          <w:color w:val="0D0D0D" w:themeColor="text1" w:themeTint="F2"/>
        </w:rPr>
        <w:t xml:space="preserve"> is a </w:t>
      </w:r>
      <w:r w:rsidRPr="00CC3DFC">
        <w:rPr>
          <w:i/>
          <w:color w:val="0D0D0D" w:themeColor="text1" w:themeTint="F2"/>
        </w:rPr>
        <w:t>behavioural</w:t>
      </w:r>
      <w:r w:rsidRPr="00CC3DFC">
        <w:rPr>
          <w:color w:val="0D0D0D" w:themeColor="text1" w:themeTint="F2"/>
        </w:rPr>
        <w:t xml:space="preserve"> event (eye direction via geometry + eye-look blendshapes), </w:t>
      </w:r>
      <w:r w:rsidRPr="00CC3DFC">
        <w:rPr>
          <w:b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emotion inference → </w:t>
      </w:r>
      <w:r w:rsidRPr="00CC3DFC">
        <w:rPr>
          <w:b/>
          <w:color w:val="0D0D0D" w:themeColor="text1" w:themeTint="F2"/>
        </w:rPr>
        <w:t>most likely NOT prohibited</w:t>
      </w:r>
      <w:r w:rsidRPr="00CC3DFC">
        <w:rPr>
          <w:color w:val="0D0D0D" w:themeColor="text1" w:themeTint="F2"/>
        </w:rPr>
        <w:t xml:space="preserve">. The avatar's </w:t>
      </w:r>
      <w:r w:rsidRPr="00CC3DFC">
        <w:rPr>
          <w:rFonts w:ascii="Consolas" w:hAnsi="Consolas"/>
          <w:color w:val="0D0D0D" w:themeColor="text1" w:themeTint="F2"/>
          <w:sz w:val="19"/>
        </w:rPr>
        <w:t>emotionState</w:t>
      </w:r>
      <w:r w:rsidRPr="00CC3DFC">
        <w:rPr>
          <w:color w:val="0D0D0D" w:themeColor="text1" w:themeTint="F2"/>
        </w:rPr>
        <w:t xml:space="preserve"> is the </w:t>
      </w:r>
      <w:r w:rsidRPr="00CC3DFC">
        <w:rPr>
          <w:i/>
          <w:color w:val="0D0D0D" w:themeColor="text1" w:themeTint="F2"/>
        </w:rPr>
        <w:t>AI interviewer's</w:t>
      </w:r>
      <w:r w:rsidRPr="00CC3DFC">
        <w:rPr>
          <w:color w:val="0D0D0D" w:themeColor="text1" w:themeTint="F2"/>
        </w:rPr>
        <w:t xml:space="preserve"> own expression, not candidate emotion → fine. ⚠️ But </w:t>
      </w:r>
      <w:r w:rsidRPr="00CC3DFC">
        <w:rPr>
          <w:rFonts w:ascii="Consolas" w:hAnsi="Consolas"/>
          <w:color w:val="0D0D0D" w:themeColor="text1" w:themeTint="F2"/>
          <w:sz w:val="19"/>
        </w:rPr>
        <w:t>analyzeTranscriptConfidence</w:t>
      </w:r>
      <w:r w:rsidRPr="00CC3DFC">
        <w:rPr>
          <w:color w:val="0D0D0D" w:themeColor="text1" w:themeTint="F2"/>
        </w:rPr>
        <w:t xml:space="preserve"> scores candidate </w:t>
      </w:r>
      <w:r w:rsidRPr="00CC3DFC">
        <w:rPr>
          <w:b/>
          <w:color w:val="0D0D0D" w:themeColor="text1" w:themeTint="F2"/>
        </w:rPr>
        <w:t>"confidence"</w:t>
      </w:r>
      <w:r w:rsidRPr="00CC3DFC">
        <w:rPr>
          <w:color w:val="0D0D0D" w:themeColor="text1" w:themeTint="F2"/>
        </w:rPr>
        <w:t xml:space="preserve"> + applies a penalty — it's </w:t>
      </w:r>
      <w:r w:rsidRPr="00CC3DFC">
        <w:rPr>
          <w:i/>
          <w:color w:val="0D0D0D" w:themeColor="text1" w:themeTint="F2"/>
        </w:rPr>
        <w:t>text</w:t>
      </w:r>
      <w:r w:rsidRPr="00CC3DFC">
        <w:rPr>
          <w:color w:val="0D0D0D" w:themeColor="text1" w:themeTint="F2"/>
        </w:rPr>
        <w:t xml:space="preserve">-based (filler/hedge words), so </w:t>
      </w:r>
      <w:r w:rsidRPr="00CC3DFC">
        <w:rPr>
          <w:b/>
          <w:color w:val="0D0D0D" w:themeColor="text1" w:themeTint="F2"/>
        </w:rPr>
        <w:t>outside</w:t>
      </w:r>
      <w:r w:rsidRPr="00CC3DFC">
        <w:rPr>
          <w:color w:val="0D0D0D" w:themeColor="text1" w:themeTint="F2"/>
        </w:rPr>
        <w:t xml:space="preserve"> the biometric ban, yet a real </w:t>
      </w:r>
      <w:r w:rsidRPr="00CC3DFC">
        <w:rPr>
          <w:b/>
          <w:color w:val="0D0D0D" w:themeColor="text1" w:themeTint="F2"/>
        </w:rPr>
        <w:t>fairness/ discrimination risk</w:t>
      </w:r>
      <w:r w:rsidRPr="00CC3DFC">
        <w:rPr>
          <w:color w:val="0D0D0D" w:themeColor="text1" w:themeTint="F2"/>
        </w:rPr>
        <w:t xml:space="preserve"> (non-native speakers, neurodivergent, speech disfluencies) under GDPR + AI-Act high-risk </w:t>
      </w:r>
      <w:r w:rsidRPr="00CC3DFC">
        <w:rPr>
          <w:b/>
          <w:color w:val="0D0D0D" w:themeColor="text1" w:themeTint="F2"/>
        </w:rPr>
        <w:t>and India's RPwD Act</w:t>
      </w:r>
      <w:r w:rsidRPr="00CC3DFC">
        <w:rPr>
          <w:color w:val="0D0D0D" w:themeColor="text1" w:themeTint="F2"/>
        </w:rPr>
        <w:t xml:space="preserve">. Re-examine it. </w:t>
      </w:r>
      <w:r w:rsidRPr="00CC3DFC">
        <w:rPr>
          <w:b/>
          <w:color w:val="0D0D0D" w:themeColor="text1" w:themeTint="F2"/>
        </w:rPr>
        <w:t>The red line is crossed only if gaze/face is used to infer a mental/emotional state</w:t>
      </w:r>
      <w:r w:rsidRPr="00CC3DFC">
        <w:rPr>
          <w:color w:val="0D0D0D" w:themeColor="text1" w:themeTint="F2"/>
        </w:rPr>
        <w:t xml:space="preserve"> ('nervous', 'disengaged', 'dishonest').</w:t>
      </w:r>
    </w:p>
    <w:p w14:paraId="571124C6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Penalty:</w:t>
      </w:r>
      <w:r w:rsidRPr="00CC3DFC">
        <w:rPr>
          <w:color w:val="0D0D0D" w:themeColor="text1" w:themeTint="F2"/>
        </w:rPr>
        <w:t xml:space="preserve"> prohibited practices → up to </w:t>
      </w:r>
      <w:r w:rsidRPr="00CC3DFC">
        <w:rPr>
          <w:b/>
          <w:color w:val="0D0D0D" w:themeColor="text1" w:themeTint="F2"/>
        </w:rPr>
        <w:t>€35M or 7% of global annual turnover</w:t>
      </w:r>
      <w:r w:rsidRPr="00CC3DFC">
        <w:rPr>
          <w:color w:val="0D0D0D" w:themeColor="text1" w:themeTint="F2"/>
        </w:rPr>
        <w:t>.</w:t>
      </w:r>
    </w:p>
    <w:p w14:paraId="47BCA8E7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Red line #2 — Biometric proctoring under GDPR</w:t>
      </w:r>
    </w:p>
    <w:p w14:paraId="2BA8921E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Face and voice processed to identify/monitor a person are </w:t>
      </w:r>
      <w:r w:rsidRPr="00CC3DFC">
        <w:rPr>
          <w:b/>
          <w:color w:val="0D0D0D" w:themeColor="text1" w:themeTint="F2"/>
        </w:rPr>
        <w:t>special-category data</w:t>
      </w:r>
      <w:r w:rsidRPr="00CC3DFC">
        <w:rPr>
          <w:color w:val="0D0D0D" w:themeColor="text1" w:themeTint="F2"/>
        </w:rPr>
        <w:t xml:space="preserve"> (GDPR Art 9). To do it lawfully you need an </w:t>
      </w:r>
      <w:r w:rsidRPr="00CC3DFC">
        <w:rPr>
          <w:b/>
          <w:color w:val="0D0D0D" w:themeColor="text1" w:themeTint="F2"/>
        </w:rPr>
        <w:t>Art 9 condition</w:t>
      </w:r>
      <w:r w:rsidRPr="00CC3DFC">
        <w:rPr>
          <w:color w:val="0D0D0D" w:themeColor="text1" w:themeTint="F2"/>
        </w:rPr>
        <w:t xml:space="preserve"> — practically </w:t>
      </w:r>
      <w:r w:rsidRPr="00CC3DFC">
        <w:rPr>
          <w:b/>
          <w:color w:val="0D0D0D" w:themeColor="text1" w:themeTint="F2"/>
        </w:rPr>
        <w:t>explicit consent</w:t>
      </w:r>
      <w:r w:rsidRPr="00CC3DFC">
        <w:rPr>
          <w:color w:val="0D0D0D" w:themeColor="text1" w:themeTint="F2"/>
        </w:rPr>
        <w:t xml:space="preserve"> — </w:t>
      </w:r>
      <w:r w:rsidRPr="00CC3DFC">
        <w:rPr>
          <w:i/>
          <w:color w:val="0D0D0D" w:themeColor="text1" w:themeTint="F2"/>
        </w:rPr>
        <w:t>plus</w:t>
      </w:r>
      <w:r w:rsidRPr="00CC3DFC">
        <w:rPr>
          <w:color w:val="0D0D0D" w:themeColor="text1" w:themeTint="F2"/>
        </w:rPr>
        <w:t xml:space="preserve"> a demonstration that it is </w:t>
      </w:r>
      <w:r w:rsidRPr="00CC3DFC">
        <w:rPr>
          <w:b/>
          <w:color w:val="0D0D0D" w:themeColor="text1" w:themeTint="F2"/>
        </w:rPr>
        <w:t>necessary and proportionate</w:t>
      </w:r>
      <w:r w:rsidRPr="00CC3DFC">
        <w:rPr>
          <w:color w:val="0D0D0D" w:themeColor="text1" w:themeTint="F2"/>
        </w:rPr>
        <w:t xml:space="preserve"> and that </w:t>
      </w:r>
      <w:r w:rsidRPr="00CC3DFC">
        <w:rPr>
          <w:b/>
          <w:color w:val="0D0D0D" w:themeColor="text1" w:themeTint="F2"/>
        </w:rPr>
        <w:t>less-intrusive alternatives were considered</w:t>
      </w:r>
      <w:r w:rsidRPr="00CC3DFC">
        <w:rPr>
          <w:color w:val="0D0D0D" w:themeColor="text1" w:themeTint="F2"/>
        </w:rPr>
        <w:t>.</w:t>
      </w:r>
    </w:p>
    <w:p w14:paraId="7CFA4776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The consent problem:</w:t>
      </w:r>
      <w:r w:rsidRPr="00CC3DFC">
        <w:rPr>
          <w:color w:val="0D0D0D" w:themeColor="text1" w:themeTint="F2"/>
        </w:rPr>
        <w:t xml:space="preserve"> in a hiring/exam context regulators distrust consent (power imbalance — the candidate can't freely say no). EU DPAs have fined facial-recognition deployments (e.g. Sweden ~€20k school attendance; Spain — DPIA failed to assess proportionality; Romania — employee time-tracking).</w:t>
      </w:r>
    </w:p>
    <w:p w14:paraId="28946D69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A DPIA is mandatory</w:t>
      </w:r>
      <w:r w:rsidRPr="00CC3DFC">
        <w:rPr>
          <w:color w:val="0D0D0D" w:themeColor="text1" w:themeTint="F2"/>
        </w:rPr>
        <w:t xml:space="preserve"> here (large-scale special-category + systematic monitoring), and a </w:t>
      </w:r>
      <w:r w:rsidRPr="00CC3DFC">
        <w:rPr>
          <w:i/>
          <w:color w:val="0D0D0D" w:themeColor="text1" w:themeTint="F2"/>
        </w:rPr>
        <w:t>superficial</w:t>
      </w:r>
      <w:r w:rsidRPr="00CC3DFC">
        <w:rPr>
          <w:color w:val="0D0D0D" w:themeColor="text1" w:themeTint="F2"/>
        </w:rPr>
        <w:t xml:space="preserve"> DPIA is itself a breach.</w:t>
      </w:r>
    </w:p>
    <w:p w14:paraId="61360C37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Practical stance for EU:</w:t>
      </w:r>
      <w:r w:rsidRPr="00CC3DFC">
        <w:rPr>
          <w:color w:val="0D0D0D" w:themeColor="text1" w:themeTint="F2"/>
        </w:rPr>
        <w:t xml:space="preserve"> make proctoring </w:t>
      </w:r>
      <w:r w:rsidRPr="00CC3DFC">
        <w:rPr>
          <w:b/>
          <w:color w:val="0D0D0D" w:themeColor="text1" w:themeTint="F2"/>
        </w:rPr>
        <w:t>optional with a real alternative</w:t>
      </w:r>
      <w:r w:rsidRPr="00CC3DFC">
        <w:rPr>
          <w:color w:val="0D0D0D" w:themeColor="text1" w:themeTint="F2"/>
        </w:rPr>
        <w:t xml:space="preserve"> (the typed interview), or </w:t>
      </w:r>
      <w:r w:rsidRPr="00CC3DFC">
        <w:rPr>
          <w:b/>
          <w:color w:val="0D0D0D" w:themeColor="text1" w:themeTint="F2"/>
        </w:rPr>
        <w:t>disable biometric proctoring for EU candidates</w:t>
      </w:r>
      <w:r w:rsidRPr="00CC3DFC">
        <w:rPr>
          <w:color w:val="0D0D0D" w:themeColor="text1" w:themeTint="F2"/>
        </w:rPr>
        <w:t>, and complete a proper DPIA either way.</w:t>
      </w:r>
    </w:p>
    <w:p w14:paraId="717F8739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The EU AI Act — recruitment AI is "high-risk"</w:t>
      </w:r>
    </w:p>
    <w:p w14:paraId="44738F77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Hiring/selection/candidate-evaluation AI is </w:t>
      </w:r>
      <w:r w:rsidRPr="00CC3DFC">
        <w:rPr>
          <w:b/>
          <w:color w:val="0D0D0D" w:themeColor="text1" w:themeTint="F2"/>
        </w:rPr>
        <w:t>Annex III high-risk</w:t>
      </w:r>
      <w:r w:rsidRPr="00CC3DFC">
        <w:rPr>
          <w:color w:val="0D0D0D" w:themeColor="text1" w:themeTint="F2"/>
        </w:rPr>
        <w:t xml:space="preserve">. If you're not in a prohibited zone (above), you fall here, which triggers a substantial compliance system </w:t>
      </w:r>
      <w:r w:rsidRPr="00CC3DFC">
        <w:rPr>
          <w:b/>
          <w:color w:val="0D0D0D" w:themeColor="text1" w:themeTint="F2"/>
        </w:rPr>
        <w:t>as the AI provider</w:t>
      </w:r>
      <w:r w:rsidRPr="00CC3DFC">
        <w:rPr>
          <w:color w:val="0D0D0D" w:themeColor="text1" w:themeTint="F2"/>
        </w:rPr>
        <w:t>:</w:t>
      </w:r>
    </w:p>
    <w:p w14:paraId="2053A884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Risk-management system; </w:t>
      </w:r>
      <w:r w:rsidRPr="00CC3DFC">
        <w:rPr>
          <w:b/>
          <w:color w:val="0D0D0D" w:themeColor="text1" w:themeTint="F2"/>
        </w:rPr>
        <w:t>data governance + bias testing</w:t>
      </w:r>
      <w:r w:rsidRPr="00CC3DFC">
        <w:rPr>
          <w:color w:val="0D0D0D" w:themeColor="text1" w:themeTint="F2"/>
        </w:rPr>
        <w:t xml:space="preserve">; technical documentation; automatic </w:t>
      </w:r>
      <w:r w:rsidRPr="00CC3DFC">
        <w:rPr>
          <w:b/>
          <w:color w:val="0D0D0D" w:themeColor="text1" w:themeTint="F2"/>
        </w:rPr>
        <w:t>logging/record-keeping</w:t>
      </w:r>
      <w:r w:rsidRPr="00CC3DFC">
        <w:rPr>
          <w:color w:val="0D0D0D" w:themeColor="text1" w:themeTint="F2"/>
        </w:rPr>
        <w:t xml:space="preserve">; </w:t>
      </w:r>
      <w:r w:rsidRPr="00CC3DFC">
        <w:rPr>
          <w:b/>
          <w:color w:val="0D0D0D" w:themeColor="text1" w:themeTint="F2"/>
        </w:rPr>
        <w:t>transparency + instructions</w:t>
      </w:r>
      <w:r w:rsidRPr="00CC3DFC">
        <w:rPr>
          <w:color w:val="0D0D0D" w:themeColor="text1" w:themeTint="F2"/>
        </w:rPr>
        <w:t xml:space="preserve"> to deployers (your recruiter customers); </w:t>
      </w:r>
      <w:r w:rsidRPr="00CC3DFC">
        <w:rPr>
          <w:b/>
          <w:color w:val="0D0D0D" w:themeColor="text1" w:themeTint="F2"/>
        </w:rPr>
        <w:t>human oversight</w:t>
      </w:r>
      <w:r w:rsidRPr="00CC3DFC">
        <w:rPr>
          <w:color w:val="0D0D0D" w:themeColor="text1" w:themeTint="F2"/>
        </w:rPr>
        <w:t xml:space="preserve"> designed in; accuracy/robustness/cybersecurity.</w:t>
      </w:r>
    </w:p>
    <w:p w14:paraId="44749317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Conformity assessment + CE marking</w:t>
      </w:r>
      <w:r w:rsidRPr="00CC3DFC">
        <w:rPr>
          <w:color w:val="0D0D0D" w:themeColor="text1" w:themeTint="F2"/>
        </w:rPr>
        <w:t xml:space="preserve">; </w:t>
      </w:r>
      <w:r w:rsidRPr="00CC3DFC">
        <w:rPr>
          <w:b/>
          <w:color w:val="0D0D0D" w:themeColor="text1" w:themeTint="F2"/>
        </w:rPr>
        <w:t>registration in the EU high-risk database</w:t>
      </w:r>
      <w:r w:rsidRPr="00CC3DFC">
        <w:rPr>
          <w:color w:val="0D0D0D" w:themeColor="text1" w:themeTint="F2"/>
        </w:rPr>
        <w:t xml:space="preserve">; quality- management system; </w:t>
      </w:r>
      <w:r w:rsidRPr="00CC3DFC">
        <w:rPr>
          <w:b/>
          <w:color w:val="0D0D0D" w:themeColor="text1" w:themeTint="F2"/>
        </w:rPr>
        <w:t>post-market monitoring</w:t>
      </w:r>
      <w:r w:rsidRPr="00CC3DFC">
        <w:rPr>
          <w:color w:val="0D0D0D" w:themeColor="text1" w:themeTint="F2"/>
        </w:rPr>
        <w:t xml:space="preserve">. Your </w:t>
      </w:r>
      <w:r w:rsidRPr="00CC3DFC">
        <w:rPr>
          <w:i/>
          <w:color w:val="0D0D0D" w:themeColor="text1" w:themeTint="F2"/>
        </w:rPr>
        <w:t>customers</w:t>
      </w:r>
      <w:r w:rsidRPr="00CC3DFC">
        <w:rPr>
          <w:color w:val="0D0D0D" w:themeColor="text1" w:themeTint="F2"/>
        </w:rPr>
        <w:t xml:space="preserve"> (deployers) owe their own duties incl. a possible </w:t>
      </w:r>
      <w:r w:rsidRPr="00CC3DFC">
        <w:rPr>
          <w:b/>
          <w:color w:val="0D0D0D" w:themeColor="text1" w:themeTint="F2"/>
        </w:rPr>
        <w:t>Fundamental Rights Impact Assessment</w:t>
      </w:r>
      <w:r w:rsidRPr="00CC3DFC">
        <w:rPr>
          <w:color w:val="0D0D0D" w:themeColor="text1" w:themeTint="F2"/>
        </w:rPr>
        <w:t xml:space="preserve"> and worker/candidate notice.</w:t>
      </w:r>
    </w:p>
    <w:p w14:paraId="473BA99B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Transparency:</w:t>
      </w:r>
      <w:r w:rsidRPr="00CC3DFC">
        <w:rPr>
          <w:color w:val="0D0D0D" w:themeColor="text1" w:themeTint="F2"/>
        </w:rPr>
        <w:t xml:space="preserve"> AI systems interacting with people must disclose they're AI — your </w:t>
      </w:r>
      <w:r w:rsidRPr="00CC3DFC">
        <w:rPr>
          <w:b/>
          <w:color w:val="0D0D0D" w:themeColor="text1" w:themeTint="F2"/>
        </w:rPr>
        <w:t>avatar must be labelled AI</w:t>
      </w:r>
      <w:r w:rsidRPr="00CC3DFC">
        <w:rPr>
          <w:color w:val="0D0D0D" w:themeColor="text1" w:themeTint="F2"/>
        </w:rPr>
        <w:t xml:space="preserve"> (also an India requirement now).</w:t>
      </w:r>
    </w:p>
    <w:p w14:paraId="56E66763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Timeline (verify — moving):</w:t>
      </w:r>
      <w:r w:rsidRPr="00CC3DFC">
        <w:rPr>
          <w:color w:val="0D0D0D" w:themeColor="text1" w:themeTint="F2"/>
        </w:rPr>
        <w:t xml:space="preserve"> high-risk Annex III obligations were due </w:t>
      </w:r>
      <w:r w:rsidRPr="00CC3DFC">
        <w:rPr>
          <w:b/>
          <w:color w:val="0D0D0D" w:themeColor="text1" w:themeTint="F2"/>
        </w:rPr>
        <w:t>2 Aug 2026</w:t>
      </w:r>
      <w:r w:rsidRPr="00CC3DFC">
        <w:rPr>
          <w:color w:val="0D0D0D" w:themeColor="text1" w:themeTint="F2"/>
        </w:rPr>
        <w:t xml:space="preserve">, but the EU's </w:t>
      </w:r>
      <w:r w:rsidRPr="00CC3DFC">
        <w:rPr>
          <w:b/>
          <w:color w:val="0D0D0D" w:themeColor="text1" w:themeTint="F2"/>
        </w:rPr>
        <w:t>Digital Omnibus</w:t>
      </w:r>
      <w:r w:rsidRPr="00CC3DFC">
        <w:rPr>
          <w:color w:val="0D0D0D" w:themeColor="text1" w:themeTint="F2"/>
        </w:rPr>
        <w:t xml:space="preserve"> (Commission 19 Nov 2025; Parliament endorsed 16 Jun 2026; formal Council adoption + publication expected </w:t>
      </w:r>
      <w:r w:rsidRPr="00CC3DFC">
        <w:rPr>
          <w:b/>
          <w:color w:val="0D0D0D" w:themeColor="text1" w:themeTint="F2"/>
        </w:rPr>
        <w:t>Jul 2026</w:t>
      </w:r>
      <w:r w:rsidRPr="00CC3DFC">
        <w:rPr>
          <w:color w:val="0D0D0D" w:themeColor="text1" w:themeTint="F2"/>
        </w:rPr>
        <w:t xml:space="preserve">) </w:t>
      </w:r>
      <w:r w:rsidRPr="00CC3DFC">
        <w:rPr>
          <w:b/>
          <w:color w:val="0D0D0D" w:themeColor="text1" w:themeTint="F2"/>
        </w:rPr>
        <w:t>defers them to ~2 December 2027</w:t>
      </w:r>
      <w:r w:rsidRPr="00CC3DFC">
        <w:rPr>
          <w:color w:val="0D0D0D" w:themeColor="text1" w:themeTint="F2"/>
        </w:rPr>
        <w:t xml:space="preserve">. Treat </w:t>
      </w:r>
      <w:r w:rsidRPr="00CC3DFC">
        <w:rPr>
          <w:b/>
          <w:color w:val="0D0D0D" w:themeColor="text1" w:themeTint="F2"/>
        </w:rPr>
        <w:t>2 Dec 2027</w:t>
      </w:r>
      <w:r w:rsidRPr="00CC3DFC">
        <w:rPr>
          <w:color w:val="0D0D0D" w:themeColor="text1" w:themeTint="F2"/>
        </w:rPr>
        <w:t xml:space="preserve"> as the planning date, but confirm once it's in the Official Journal — until then the Aug 2026 date technically stands. Non-compliance with high-risk duties → up to </w:t>
      </w:r>
      <w:r w:rsidRPr="00CC3DFC">
        <w:rPr>
          <w:b/>
          <w:color w:val="0D0D0D" w:themeColor="text1" w:themeTint="F2"/>
        </w:rPr>
        <w:t>€15M or 3% of global turnover</w:t>
      </w:r>
      <w:r w:rsidRPr="00CC3DFC">
        <w:rPr>
          <w:color w:val="0D0D0D" w:themeColor="text1" w:themeTint="F2"/>
        </w:rPr>
        <w:t>.</w:t>
      </w:r>
    </w:p>
    <w:p w14:paraId="60193720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GDPR mechanics that differ from India (DPDP)</w:t>
      </w:r>
    </w:p>
    <w:tbl>
      <w:tblPr>
        <w:tblStyle w:val="LightGrid"/>
        <w:tblW w:w="0" w:type="auto"/>
        <w:tblLook w:val="0600" w:firstRow="0" w:lastRow="0" w:firstColumn="0" w:lastColumn="0" w:noHBand="1" w:noVBand="1"/>
      </w:tblPr>
      <w:tblGrid>
        <w:gridCol w:w="2880"/>
        <w:gridCol w:w="2880"/>
        <w:gridCol w:w="2880"/>
      </w:tblGrid>
      <w:tr w:rsidR="00C516AA" w:rsidRPr="00CC3DFC" w14:paraId="08DA145D" w14:textId="77777777" w:rsidTr="00CC3DFC">
        <w:tc>
          <w:tcPr>
            <w:tcW w:w="2880" w:type="dxa"/>
          </w:tcPr>
          <w:p w14:paraId="4264B19F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Topic</w:t>
            </w:r>
          </w:p>
        </w:tc>
        <w:tc>
          <w:tcPr>
            <w:tcW w:w="2880" w:type="dxa"/>
          </w:tcPr>
          <w:p w14:paraId="2BFF094A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India (DPDP)</w:t>
            </w:r>
          </w:p>
        </w:tc>
        <w:tc>
          <w:tcPr>
            <w:tcW w:w="2880" w:type="dxa"/>
          </w:tcPr>
          <w:p w14:paraId="72141E44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EU (GDPR) — stricter</w:t>
            </w:r>
          </w:p>
        </w:tc>
      </w:tr>
      <w:tr w:rsidR="00C516AA" w:rsidRPr="00CC3DFC" w14:paraId="4C880FC3" w14:textId="77777777" w:rsidTr="00CC3DFC">
        <w:tc>
          <w:tcPr>
            <w:tcW w:w="2880" w:type="dxa"/>
          </w:tcPr>
          <w:p w14:paraId="314BD86D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Lawful basis</w:t>
            </w:r>
          </w:p>
        </w:tc>
        <w:tc>
          <w:tcPr>
            <w:tcW w:w="2880" w:type="dxa"/>
          </w:tcPr>
          <w:p w14:paraId="45BAA09E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Consent / certain legitimate uses</w:t>
            </w:r>
          </w:p>
        </w:tc>
        <w:tc>
          <w:tcPr>
            <w:tcW w:w="2880" w:type="dxa"/>
          </w:tcPr>
          <w:p w14:paraId="23B0B121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 xml:space="preserve">Needs a valid basis; </w:t>
            </w:r>
            <w:r w:rsidRPr="00CC3DFC">
              <w:rPr>
                <w:b/>
                <w:color w:val="0D0D0D" w:themeColor="text1" w:themeTint="F2"/>
              </w:rPr>
              <w:t>consent is shaky in recruitment</w:t>
            </w:r>
            <w:r w:rsidRPr="00CC3DFC">
              <w:rPr>
                <w:color w:val="0D0D0D" w:themeColor="text1" w:themeTint="F2"/>
              </w:rPr>
              <w:t xml:space="preserve"> (power imbalance) — may rely on legitimate interest + balancing test</w:t>
            </w:r>
          </w:p>
        </w:tc>
      </w:tr>
      <w:tr w:rsidR="00C516AA" w:rsidRPr="00CC3DFC" w14:paraId="1FE81434" w14:textId="77777777" w:rsidTr="00CC3DFC">
        <w:tc>
          <w:tcPr>
            <w:tcW w:w="2880" w:type="dxa"/>
          </w:tcPr>
          <w:p w14:paraId="1AD17E5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Automated decisions</w:t>
            </w:r>
          </w:p>
        </w:tc>
        <w:tc>
          <w:tcPr>
            <w:tcW w:w="2880" w:type="dxa"/>
          </w:tcPr>
          <w:p w14:paraId="71E8828E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No hard equivalent yet</w:t>
            </w:r>
          </w:p>
        </w:tc>
        <w:tc>
          <w:tcPr>
            <w:tcW w:w="2880" w:type="dxa"/>
          </w:tcPr>
          <w:p w14:paraId="7FE56F34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Art 22</w:t>
            </w:r>
            <w:r w:rsidRPr="00CC3DFC">
              <w:rPr>
                <w:color w:val="0D0D0D" w:themeColor="text1" w:themeTint="F2"/>
              </w:rPr>
              <w:t xml:space="preserve">: right not to be subject to </w:t>
            </w:r>
            <w:r w:rsidRPr="00CC3DFC">
              <w:rPr>
                <w:i/>
                <w:color w:val="0D0D0D" w:themeColor="text1" w:themeTint="F2"/>
              </w:rPr>
              <w:t>solely</w:t>
            </w:r>
            <w:r w:rsidRPr="00CC3DFC">
              <w:rPr>
                <w:color w:val="0D0D0D" w:themeColor="text1" w:themeTint="F2"/>
              </w:rPr>
              <w:t xml:space="preserve"> automated decisions with significant effect → </w:t>
            </w:r>
            <w:r w:rsidRPr="00CC3DFC">
              <w:rPr>
                <w:b/>
                <w:color w:val="0D0D0D" w:themeColor="text1" w:themeTint="F2"/>
              </w:rPr>
              <w:t>human-in-the-loop</w:t>
            </w:r>
            <w:r w:rsidRPr="00CC3DFC">
              <w:rPr>
                <w:color w:val="0D0D0D" w:themeColor="text1" w:themeTint="F2"/>
              </w:rPr>
              <w:t xml:space="preserve">, explanation, and a route to </w:t>
            </w:r>
            <w:r w:rsidRPr="00CC3DFC">
              <w:rPr>
                <w:b/>
                <w:color w:val="0D0D0D" w:themeColor="text1" w:themeTint="F2"/>
              </w:rPr>
              <w:lastRenderedPageBreak/>
              <w:t>contest</w:t>
            </w:r>
            <w:r w:rsidRPr="00CC3DFC">
              <w:rPr>
                <w:color w:val="0D0D0D" w:themeColor="text1" w:themeTint="F2"/>
              </w:rPr>
              <w:t xml:space="preserve"> the AI score</w:t>
            </w:r>
          </w:p>
        </w:tc>
      </w:tr>
      <w:tr w:rsidR="00C516AA" w:rsidRPr="00CC3DFC" w14:paraId="384DCBCA" w14:textId="77777777" w:rsidTr="00CC3DFC">
        <w:tc>
          <w:tcPr>
            <w:tcW w:w="2880" w:type="dxa"/>
          </w:tcPr>
          <w:p w14:paraId="255BE18A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lastRenderedPageBreak/>
              <w:t>DPIA</w:t>
            </w:r>
          </w:p>
        </w:tc>
        <w:tc>
          <w:tcPr>
            <w:tcW w:w="2880" w:type="dxa"/>
          </w:tcPr>
          <w:p w14:paraId="50E82C05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Only Significant Data Fiduciaries</w:t>
            </w:r>
          </w:p>
        </w:tc>
        <w:tc>
          <w:tcPr>
            <w:tcW w:w="2880" w:type="dxa"/>
          </w:tcPr>
          <w:p w14:paraId="75EDA131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Mandatory</w:t>
            </w:r>
            <w:r w:rsidRPr="00CC3DFC">
              <w:rPr>
                <w:color w:val="0D0D0D" w:themeColor="text1" w:themeTint="F2"/>
              </w:rPr>
              <w:t xml:space="preserve"> for your biometric + profiling processing, </w:t>
            </w:r>
            <w:r w:rsidRPr="00CC3DFC">
              <w:rPr>
                <w:i/>
                <w:color w:val="0D0D0D" w:themeColor="text1" w:themeTint="F2"/>
              </w:rPr>
              <w:t>before</w:t>
            </w:r>
            <w:r w:rsidRPr="00CC3DFC">
              <w:rPr>
                <w:color w:val="0D0D0D" w:themeColor="text1" w:themeTint="F2"/>
              </w:rPr>
              <w:t xml:space="preserve"> you start</w:t>
            </w:r>
          </w:p>
        </w:tc>
      </w:tr>
      <w:tr w:rsidR="00C516AA" w:rsidRPr="00CC3DFC" w14:paraId="71EB2133" w14:textId="77777777" w:rsidTr="00CC3DFC">
        <w:tc>
          <w:tcPr>
            <w:tcW w:w="2880" w:type="dxa"/>
          </w:tcPr>
          <w:p w14:paraId="1B8FC8F2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Representative/DPO</w:t>
            </w:r>
          </w:p>
        </w:tc>
        <w:tc>
          <w:tcPr>
            <w:tcW w:w="2880" w:type="dxa"/>
          </w:tcPr>
          <w:p w14:paraId="761CA71B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Grievance officer; DPO only if SDF</w:t>
            </w:r>
          </w:p>
        </w:tc>
        <w:tc>
          <w:tcPr>
            <w:tcW w:w="2880" w:type="dxa"/>
          </w:tcPr>
          <w:p w14:paraId="4443A3AE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EU representative (Art 27)</w:t>
            </w:r>
            <w:r w:rsidRPr="00CC3DFC">
              <w:rPr>
                <w:color w:val="0D0D0D" w:themeColor="text1" w:themeTint="F2"/>
              </w:rPr>
              <w:t xml:space="preserve"> required for a non-EU company targeting EU; </w:t>
            </w:r>
            <w:r w:rsidRPr="00CC3DFC">
              <w:rPr>
                <w:b/>
                <w:color w:val="0D0D0D" w:themeColor="text1" w:themeTint="F2"/>
              </w:rPr>
              <w:t>DPO likely required</w:t>
            </w:r>
            <w:r w:rsidRPr="00CC3DFC">
              <w:rPr>
                <w:color w:val="0D0D0D" w:themeColor="text1" w:themeTint="F2"/>
              </w:rPr>
              <w:t xml:space="preserve"> (large-scale special-category)</w:t>
            </w:r>
          </w:p>
        </w:tc>
      </w:tr>
      <w:tr w:rsidR="00C516AA" w:rsidRPr="00CC3DFC" w14:paraId="010E004B" w14:textId="77777777" w:rsidTr="00CC3DFC">
        <w:tc>
          <w:tcPr>
            <w:tcW w:w="2880" w:type="dxa"/>
          </w:tcPr>
          <w:p w14:paraId="64659D4F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Transfers</w:t>
            </w:r>
          </w:p>
        </w:tc>
        <w:tc>
          <w:tcPr>
            <w:tcW w:w="2880" w:type="dxa"/>
          </w:tcPr>
          <w:p w14:paraId="2950BC3D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Negative list (allowed by default)</w:t>
            </w:r>
          </w:p>
        </w:tc>
        <w:tc>
          <w:tcPr>
            <w:tcW w:w="2880" w:type="dxa"/>
          </w:tcPr>
          <w:p w14:paraId="1952302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Restricted</w:t>
            </w:r>
            <w:r w:rsidRPr="00CC3DFC">
              <w:rPr>
                <w:color w:val="0D0D0D" w:themeColor="text1" w:themeTint="F2"/>
              </w:rPr>
              <w:t xml:space="preserve"> — need a mechanism (below)</w:t>
            </w:r>
          </w:p>
        </w:tc>
      </w:tr>
      <w:tr w:rsidR="00C516AA" w:rsidRPr="00CC3DFC" w14:paraId="78CB886E" w14:textId="77777777" w:rsidTr="00CC3DFC">
        <w:tc>
          <w:tcPr>
            <w:tcW w:w="2880" w:type="dxa"/>
          </w:tcPr>
          <w:p w14:paraId="112DF299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Cookies/analytics</w:t>
            </w:r>
          </w:p>
        </w:tc>
        <w:tc>
          <w:tcPr>
            <w:tcW w:w="2880" w:type="dxa"/>
          </w:tcPr>
          <w:p w14:paraId="2AC097A6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DPDP consent</w:t>
            </w:r>
          </w:p>
        </w:tc>
        <w:tc>
          <w:tcPr>
            <w:tcW w:w="2880" w:type="dxa"/>
          </w:tcPr>
          <w:p w14:paraId="398685E6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ePrivacy</w:t>
            </w:r>
            <w:r w:rsidRPr="00CC3DFC">
              <w:rPr>
                <w:color w:val="0D0D0D" w:themeColor="text1" w:themeTint="F2"/>
              </w:rPr>
              <w:t>: explicit opt-in banner for non-essential cookies</w:t>
            </w:r>
          </w:p>
        </w:tc>
      </w:tr>
      <w:tr w:rsidR="00C516AA" w:rsidRPr="00CC3DFC" w14:paraId="498A00AE" w14:textId="77777777" w:rsidTr="00CC3DFC">
        <w:tc>
          <w:tcPr>
            <w:tcW w:w="2880" w:type="dxa"/>
          </w:tcPr>
          <w:p w14:paraId="333DCB3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Breach</w:t>
            </w:r>
          </w:p>
        </w:tc>
        <w:tc>
          <w:tcPr>
            <w:tcW w:w="2880" w:type="dxa"/>
          </w:tcPr>
          <w:p w14:paraId="64A9BC25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72h to DPBI</w:t>
            </w:r>
          </w:p>
        </w:tc>
        <w:tc>
          <w:tcPr>
            <w:tcW w:w="2880" w:type="dxa"/>
          </w:tcPr>
          <w:p w14:paraId="5EA3B600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72h to the supervisory authority</w:t>
            </w:r>
          </w:p>
        </w:tc>
      </w:tr>
      <w:tr w:rsidR="00C516AA" w:rsidRPr="00CC3DFC" w14:paraId="49326BC4" w14:textId="77777777" w:rsidTr="00CC3DFC">
        <w:tc>
          <w:tcPr>
            <w:tcW w:w="2880" w:type="dxa"/>
          </w:tcPr>
          <w:p w14:paraId="4E48F584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Fines</w:t>
            </w:r>
          </w:p>
        </w:tc>
        <w:tc>
          <w:tcPr>
            <w:tcW w:w="2880" w:type="dxa"/>
          </w:tcPr>
          <w:p w14:paraId="5FFFAEC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up to ₹250 cr</w:t>
            </w:r>
          </w:p>
        </w:tc>
        <w:tc>
          <w:tcPr>
            <w:tcW w:w="2880" w:type="dxa"/>
          </w:tcPr>
          <w:p w14:paraId="6EE102B9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 xml:space="preserve">up to </w:t>
            </w:r>
            <w:r w:rsidRPr="00CC3DFC">
              <w:rPr>
                <w:b/>
                <w:color w:val="0D0D0D" w:themeColor="text1" w:themeTint="F2"/>
              </w:rPr>
              <w:t>€20M or 4%</w:t>
            </w:r>
            <w:r w:rsidRPr="00CC3DFC">
              <w:rPr>
                <w:color w:val="0D0D0D" w:themeColor="text1" w:themeTint="F2"/>
              </w:rPr>
              <w:t xml:space="preserve"> of global turnover (GDPR)</w:t>
            </w:r>
          </w:p>
        </w:tc>
      </w:tr>
    </w:tbl>
    <w:p w14:paraId="2E5D2215" w14:textId="77777777" w:rsidR="00C516AA" w:rsidRPr="00CC3DFC" w:rsidRDefault="00000000">
      <w:pPr>
        <w:pStyle w:val="Quote"/>
        <w:rPr>
          <w:color w:val="0D0D0D" w:themeColor="text1" w:themeTint="F2"/>
        </w:rPr>
      </w:pPr>
      <w:r w:rsidRPr="00CC3DFC">
        <w:rPr>
          <w:b/>
          <w:i w:val="0"/>
          <w:color w:val="0D0D0D" w:themeColor="text1" w:themeTint="F2"/>
        </w:rPr>
        <w:t>⚠️ In flux — Digital Omnibus (proposal, 19 Nov 2025, NOT law yet):</w:t>
      </w:r>
      <w:r w:rsidRPr="00CC3DFC">
        <w:rPr>
          <w:i w:val="0"/>
          <w:color w:val="0D0D0D" w:themeColor="text1" w:themeTint="F2"/>
        </w:rPr>
        <w:t xml:space="preserve"> would narrow the </w:t>
      </w:r>
      <w:r w:rsidRPr="00CC3DFC">
        <w:rPr>
          <w:b/>
          <w:i w:val="0"/>
          <w:color w:val="0D0D0D" w:themeColor="text1" w:themeTint="F2"/>
        </w:rPr>
        <w:t>"personal data"</w:t>
      </w:r>
      <w:r w:rsidRPr="00CC3DFC">
        <w:rPr>
          <w:i w:val="0"/>
          <w:color w:val="0D0D0D" w:themeColor="text1" w:themeTint="F2"/>
        </w:rPr>
        <w:t xml:space="preserve"> definition, make cookies </w:t>
      </w:r>
      <w:r w:rsidRPr="00CC3DFC">
        <w:rPr>
          <w:b/>
          <w:i w:val="0"/>
          <w:color w:val="0D0D0D" w:themeColor="text1" w:themeTint="F2"/>
        </w:rPr>
        <w:t>single-click</w:t>
      </w:r>
      <w:r w:rsidRPr="00CC3DFC">
        <w:rPr>
          <w:i w:val="0"/>
          <w:color w:val="0D0D0D" w:themeColor="text1" w:themeTint="F2"/>
        </w:rPr>
        <w:t xml:space="preserve"> + 6-month moratorium, extend breach reporting </w:t>
      </w:r>
      <w:r w:rsidRPr="00CC3DFC">
        <w:rPr>
          <w:b/>
          <w:i w:val="0"/>
          <w:color w:val="0D0D0D" w:themeColor="text1" w:themeTint="F2"/>
        </w:rPr>
        <w:t>72h → 96h</w:t>
      </w:r>
      <w:r w:rsidRPr="00CC3DFC">
        <w:rPr>
          <w:i w:val="0"/>
          <w:color w:val="0D0D0D" w:themeColor="text1" w:themeTint="F2"/>
        </w:rPr>
        <w:t xml:space="preserve"> (high-risk breaches only), and </w:t>
      </w:r>
      <w:r w:rsidRPr="00CC3DFC">
        <w:rPr>
          <w:b/>
          <w:i w:val="0"/>
          <w:color w:val="0D0D0D" w:themeColor="text1" w:themeTint="F2"/>
        </w:rPr>
        <w:t>relax Art 22 automated-decision</w:t>
      </w:r>
      <w:r w:rsidRPr="00CC3DFC">
        <w:rPr>
          <w:i w:val="0"/>
          <w:color w:val="0D0D0D" w:themeColor="text1" w:themeTint="F2"/>
        </w:rPr>
        <w:t xml:space="preserve"> limits. Current GDPR (above) still applies — </w:t>
      </w:r>
      <w:r w:rsidRPr="00CC3DFC">
        <w:rPr>
          <w:b/>
          <w:i w:val="0"/>
          <w:color w:val="0D0D0D" w:themeColor="text1" w:themeTint="F2"/>
        </w:rPr>
        <w:t>don't rely on these relaxations, and don't adopt the 96h window, until it's enacted.</w:t>
      </w:r>
    </w:p>
    <w:p w14:paraId="45F15E57" w14:textId="77777777" w:rsidR="00C516AA" w:rsidRPr="00CC3DFC" w:rsidRDefault="00000000">
      <w:pPr>
        <w:pStyle w:val="Heading3"/>
        <w:rPr>
          <w:color w:val="0D0D0D" w:themeColor="text1" w:themeTint="F2"/>
        </w:rPr>
      </w:pPr>
      <w:r w:rsidRPr="00CC3DFC">
        <w:rPr>
          <w:color w:val="0D0D0D" w:themeColor="text1" w:themeTint="F2"/>
        </w:rPr>
        <w:t>International transfers (this is where your stack matters)</w:t>
      </w:r>
    </w:p>
    <w:p w14:paraId="57BCF9DC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EU → US</w:t>
      </w:r>
      <w:r w:rsidRPr="00CC3DFC">
        <w:rPr>
          <w:color w:val="0D0D0D" w:themeColor="text1" w:themeTint="F2"/>
        </w:rPr>
        <w:t xml:space="preserve"> (your LLM swap target, Supabase/Render/Vercel, Deepgram, OpenAI): allowed if the vendor is </w:t>
      </w:r>
      <w:r w:rsidRPr="00CC3DFC">
        <w:rPr>
          <w:b/>
          <w:color w:val="0D0D0D" w:themeColor="text1" w:themeTint="F2"/>
        </w:rPr>
        <w:t>EU-US Data Privacy Framework certified</w:t>
      </w:r>
      <w:r w:rsidRPr="00CC3DFC">
        <w:rPr>
          <w:color w:val="0D0D0D" w:themeColor="text1" w:themeTint="F2"/>
        </w:rPr>
        <w:t xml:space="preserve"> (the DPF is valid as of 2026 — survived the </w:t>
      </w:r>
      <w:r w:rsidRPr="00CC3DFC">
        <w:rPr>
          <w:i/>
          <w:color w:val="0D0D0D" w:themeColor="text1" w:themeTint="F2"/>
        </w:rPr>
        <w:t>Latombe</w:t>
      </w:r>
      <w:r w:rsidRPr="00CC3DFC">
        <w:rPr>
          <w:color w:val="0D0D0D" w:themeColor="text1" w:themeTint="F2"/>
        </w:rPr>
        <w:t xml:space="preserve"> challenge), otherwise </w:t>
      </w:r>
      <w:r w:rsidRPr="00CC3DFC">
        <w:rPr>
          <w:b/>
          <w:color w:val="0D0D0D" w:themeColor="text1" w:themeTint="F2"/>
        </w:rPr>
        <w:t>Standard Contractual Clauses (SCCs) + a Transfer Impact Assessment</w:t>
      </w:r>
      <w:r w:rsidRPr="00CC3DFC">
        <w:rPr>
          <w:color w:val="0D0D0D" w:themeColor="text1" w:themeTint="F2"/>
        </w:rPr>
        <w:t xml:space="preserve">. </w:t>
      </w:r>
      <w:r w:rsidRPr="00CC3DFC">
        <w:rPr>
          <w:b/>
          <w:color w:val="0D0D0D" w:themeColor="text1" w:themeTint="F2"/>
        </w:rPr>
        <w:t>Prefer DPF-certified vendors.</w:t>
      </w:r>
    </w:p>
    <w:p w14:paraId="07CA46FD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EU → India</w:t>
      </w:r>
      <w:r w:rsidRPr="00CC3DFC">
        <w:rPr>
          <w:color w:val="0D0D0D" w:themeColor="text1" w:themeTint="F2"/>
        </w:rPr>
        <w:t xml:space="preserve"> (if EU candidate data reaches your India ops/storage): India has </w:t>
      </w:r>
      <w:r w:rsidRPr="00CC3DFC">
        <w:rPr>
          <w:b/>
          <w:color w:val="0D0D0D" w:themeColor="text1" w:themeTint="F2"/>
        </w:rPr>
        <w:t>no EU adequacy</w:t>
      </w:r>
      <w:r w:rsidRPr="00CC3DFC">
        <w:rPr>
          <w:color w:val="0D0D0D" w:themeColor="text1" w:themeTint="F2"/>
        </w:rPr>
        <w:t xml:space="preserve"> (not expected before ~2028–2029) → you need </w:t>
      </w:r>
      <w:r w:rsidRPr="00CC3DFC">
        <w:rPr>
          <w:b/>
          <w:color w:val="0D0D0D" w:themeColor="text1" w:themeTint="F2"/>
        </w:rPr>
        <w:t>SCCs</w:t>
      </w:r>
      <w:r w:rsidRPr="00CC3DFC">
        <w:rPr>
          <w:color w:val="0D0D0D" w:themeColor="text1" w:themeTint="F2"/>
        </w:rPr>
        <w:t>.</w:t>
      </w:r>
    </w:p>
    <w:p w14:paraId="7612181F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EU → China:</w:t>
      </w:r>
      <w:r w:rsidRPr="00CC3DFC">
        <w:rPr>
          <w:color w:val="0D0D0D" w:themeColor="text1" w:themeTint="F2"/>
        </w:rPr>
        <w:t xml:space="preserve"> effectively no clean path — yet another reason the </w:t>
      </w:r>
      <w:r w:rsidRPr="00CC3DFC">
        <w:rPr>
          <w:b/>
          <w:color w:val="0D0D0D" w:themeColor="text1" w:themeTint="F2"/>
        </w:rPr>
        <w:t>DeepSeek→US swap</w:t>
      </w:r>
      <w:r w:rsidRPr="00CC3DFC">
        <w:rPr>
          <w:color w:val="0D0D0D" w:themeColor="text1" w:themeTint="F2"/>
        </w:rPr>
        <w:t xml:space="preserve"> is right.</w:t>
      </w:r>
    </w:p>
    <w:p w14:paraId="2F3450A7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Best move:</w:t>
      </w:r>
      <w:r w:rsidRPr="00CC3DFC">
        <w:rPr>
          <w:color w:val="0D0D0D" w:themeColor="text1" w:themeTint="F2"/>
        </w:rPr>
        <w:t xml:space="preserve"> </w:t>
      </w:r>
      <w:r w:rsidRPr="00CC3DFC">
        <w:rPr>
          <w:b/>
          <w:color w:val="0D0D0D" w:themeColor="text1" w:themeTint="F2"/>
        </w:rPr>
        <w:t>host EU candidates' data in an EU region</w:t>
      </w:r>
      <w:r w:rsidRPr="00CC3DFC">
        <w:rPr>
          <w:color w:val="0D0D0D" w:themeColor="text1" w:themeTint="F2"/>
        </w:rPr>
        <w:t xml:space="preserve"> (Supabase </w:t>
      </w:r>
      <w:r w:rsidRPr="00CC3DFC">
        <w:rPr>
          <w:i/>
          <w:color w:val="0D0D0D" w:themeColor="text1" w:themeTint="F2"/>
        </w:rPr>
        <w:t>does</w:t>
      </w:r>
      <w:r w:rsidRPr="00CC3DFC">
        <w:rPr>
          <w:color w:val="0D0D0D" w:themeColor="text1" w:themeTint="F2"/>
        </w:rPr>
        <w:t xml:space="preserve"> offer EU regions, unlike India) to minimise transfers, and pin the data per candidate region.</w:t>
      </w:r>
    </w:p>
    <w:p w14:paraId="0506E605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What actually helps you (good news)</w:t>
      </w:r>
    </w:p>
    <w:p w14:paraId="74B30F00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The DeepSeek→US LLM swap helps the EU case too</w:t>
      </w:r>
      <w:r w:rsidRPr="00CC3DFC">
        <w:rPr>
          <w:color w:val="0D0D0D" w:themeColor="text1" w:themeTint="F2"/>
        </w:rPr>
        <w:t xml:space="preserve"> — US (DPF) is workable; China was not.</w:t>
      </w:r>
    </w:p>
    <w:p w14:paraId="14537441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Supabase offers EU regions</w:t>
      </w:r>
      <w:r w:rsidRPr="00CC3DFC">
        <w:rPr>
          <w:color w:val="0D0D0D" w:themeColor="text1" w:themeTint="F2"/>
        </w:rPr>
        <w:t xml:space="preserve"> → you can keep EU candidate data in the EU (you couldn't for India).</w:t>
      </w:r>
    </w:p>
    <w:p w14:paraId="609FA1D3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The AI-avatar "AI-generated" label</w:t>
      </w:r>
      <w:r w:rsidRPr="00CC3DFC">
        <w:rPr>
          <w:color w:val="0D0D0D" w:themeColor="text1" w:themeTint="F2"/>
        </w:rPr>
        <w:t xml:space="preserve"> you need for India also satisfies the EU transparency duty.</w:t>
      </w:r>
    </w:p>
    <w:p w14:paraId="67100F0A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The Digital Omnibus delay</w:t>
      </w:r>
      <w:r w:rsidRPr="00CC3DFC">
        <w:rPr>
          <w:color w:val="0D0D0D" w:themeColor="text1" w:themeTint="F2"/>
        </w:rPr>
        <w:t xml:space="preserve"> buys runway to ~Dec 2027 for the heaviest high-risk obligations.</w:t>
      </w:r>
    </w:p>
    <w:p w14:paraId="6E1DE858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Data minimisation / pseudonymised prompts</w:t>
      </w:r>
      <w:r w:rsidRPr="00CC3DFC">
        <w:rPr>
          <w:color w:val="0D0D0D" w:themeColor="text1" w:themeTint="F2"/>
        </w:rPr>
        <w:t xml:space="preserve"> (already on the India list) materially de-risk transfers.</w:t>
      </w:r>
    </w:p>
    <w:p w14:paraId="0C675F86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EU expansion checklist (high level — the full ordered plan is Part 3)</w:t>
      </w:r>
    </w:p>
    <w:p w14:paraId="74C84C5A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Audit proctoring for emotion/affect inference</w:t>
      </w:r>
      <w:r w:rsidRPr="00CC3DFC">
        <w:rPr>
          <w:color w:val="0D0D0D" w:themeColor="text1" w:themeTint="F2"/>
        </w:rPr>
        <w:t xml:space="preserve"> → remove it for EU (Red line #1).</w:t>
      </w:r>
    </w:p>
    <w:p w14:paraId="43260D22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Decide biometric proctoring for EU</w:t>
      </w:r>
      <w:r w:rsidRPr="00CC3DFC">
        <w:rPr>
          <w:color w:val="0D0D0D" w:themeColor="text1" w:themeTint="F2"/>
        </w:rPr>
        <w:t>: off by default, or optional + real alternative + DPIA (#2).</w:t>
      </w:r>
    </w:p>
    <w:p w14:paraId="25D2B5AF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 xml:space="preserve">☐  </w:t>
      </w:r>
      <w:r w:rsidRPr="00CC3DFC">
        <w:rPr>
          <w:b/>
          <w:color w:val="0D0D0D" w:themeColor="text1" w:themeTint="F2"/>
        </w:rPr>
        <w:t>DPIA</w:t>
      </w:r>
      <w:r w:rsidRPr="00CC3DFC">
        <w:rPr>
          <w:color w:val="0D0D0D" w:themeColor="text1" w:themeTint="F2"/>
        </w:rPr>
        <w:t xml:space="preserve"> for EU processing (mandatory, before launch).</w:t>
      </w:r>
    </w:p>
    <w:p w14:paraId="1F90B65F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AI Act high-risk programme</w:t>
      </w:r>
      <w:r w:rsidRPr="00CC3DFC">
        <w:rPr>
          <w:color w:val="0D0D0D" w:themeColor="text1" w:themeTint="F2"/>
        </w:rPr>
        <w:t>: risk mgmt, bias testing, technical docs, logging, human oversight, conformity assessment + CE marking, EU-database registration (target ~Dec 2027).</w:t>
      </w:r>
    </w:p>
    <w:p w14:paraId="0DB10C0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Art 22 human-in-the-loop</w:t>
      </w:r>
      <w:r w:rsidRPr="00CC3DFC">
        <w:rPr>
          <w:color w:val="0D0D0D" w:themeColor="text1" w:themeTint="F2"/>
        </w:rPr>
        <w:t>: no solely-automated rejection; explanation + contest route.</w:t>
      </w:r>
    </w:p>
    <w:p w14:paraId="5C27B7F1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Lawful basis</w:t>
      </w:r>
      <w:r w:rsidRPr="00CC3DFC">
        <w:rPr>
          <w:color w:val="0D0D0D" w:themeColor="text1" w:themeTint="F2"/>
        </w:rPr>
        <w:t xml:space="preserve"> worked out with a lawyer (likely legitimate interest + balancing, not consent).</w:t>
      </w:r>
    </w:p>
    <w:p w14:paraId="7AC8905C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Appoint an EU representative (Art 27)</w:t>
      </w:r>
      <w:r w:rsidRPr="00CC3DFC">
        <w:rPr>
          <w:color w:val="0D0D0D" w:themeColor="text1" w:themeTint="F2"/>
        </w:rPr>
        <w:t xml:space="preserve">; assess </w:t>
      </w:r>
      <w:r w:rsidRPr="00CC3DFC">
        <w:rPr>
          <w:b/>
          <w:color w:val="0D0D0D" w:themeColor="text1" w:themeTint="F2"/>
        </w:rPr>
        <w:t>DPO</w:t>
      </w:r>
      <w:r w:rsidRPr="00CC3DFC">
        <w:rPr>
          <w:color w:val="0D0D0D" w:themeColor="text1" w:themeTint="F2"/>
        </w:rPr>
        <w:t xml:space="preserve"> requirement.</w:t>
      </w:r>
    </w:p>
    <w:p w14:paraId="7B57044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Transfers</w:t>
      </w:r>
      <w:r w:rsidRPr="00CC3DFC">
        <w:rPr>
          <w:color w:val="0D0D0D" w:themeColor="text1" w:themeTint="F2"/>
        </w:rPr>
        <w:t xml:space="preserve">: use DPF-certified US vendors or SCCs+TIA; </w:t>
      </w:r>
      <w:r w:rsidRPr="00CC3DFC">
        <w:rPr>
          <w:b/>
          <w:color w:val="0D0D0D" w:themeColor="text1" w:themeTint="F2"/>
        </w:rPr>
        <w:t>host EU data in EU region</w:t>
      </w:r>
      <w:r w:rsidRPr="00CC3DFC">
        <w:rPr>
          <w:color w:val="0D0D0D" w:themeColor="text1" w:themeTint="F2"/>
        </w:rPr>
        <w:t>; SCCs for any EU→India flow.</w:t>
      </w:r>
    </w:p>
    <w:p w14:paraId="544BA5C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GDPR docs</w:t>
      </w:r>
      <w:r w:rsidRPr="00CC3DFC">
        <w:rPr>
          <w:color w:val="0D0D0D" w:themeColor="text1" w:themeTint="F2"/>
        </w:rPr>
        <w:t xml:space="preserve">: EU-facing privacy notice, data-subject-rights process (access/erasure/portability/ objection), </w:t>
      </w:r>
      <w:r w:rsidRPr="00CC3DFC">
        <w:rPr>
          <w:b/>
          <w:color w:val="0D0D0D" w:themeColor="text1" w:themeTint="F2"/>
        </w:rPr>
        <w:t>ePrivacy cookie banner</w:t>
      </w:r>
      <w:r w:rsidRPr="00CC3DFC">
        <w:rPr>
          <w:color w:val="0D0D0D" w:themeColor="text1" w:themeTint="F2"/>
        </w:rPr>
        <w:t>, 72h breach process.</w:t>
      </w:r>
    </w:p>
    <w:p w14:paraId="7524A87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Pay Transparency Directive (2023/970, transpose by 7 Jun 2026)</w:t>
      </w:r>
      <w:r w:rsidRPr="00CC3DFC">
        <w:rPr>
          <w:color w:val="0D0D0D" w:themeColor="text1" w:themeTint="F2"/>
        </w:rPr>
        <w:t xml:space="preserve"> — </w:t>
      </w:r>
      <w:r w:rsidRPr="00CC3DFC">
        <w:rPr>
          <w:b/>
          <w:color w:val="0D0D0D" w:themeColor="text1" w:themeTint="F2"/>
        </w:rPr>
        <w:t>no salary-history questions</w:t>
      </w:r>
      <w:r w:rsidRPr="00CC3DFC">
        <w:rPr>
          <w:color w:val="0D0D0D" w:themeColor="text1" w:themeTint="F2"/>
        </w:rPr>
        <w:t xml:space="preserve"> in recruitment; check intake/application forms and remove any current/previous-pay field for EU.</w:t>
      </w:r>
    </w:p>
    <w:p w14:paraId="1A602597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Label the AI avatar</w:t>
      </w:r>
      <w:r w:rsidRPr="00CC3DFC">
        <w:rPr>
          <w:color w:val="0D0D0D" w:themeColor="text1" w:themeTint="F2"/>
        </w:rPr>
        <w:t xml:space="preserve"> (transparency).</w:t>
      </w:r>
    </w:p>
    <w:p w14:paraId="758EE09A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_(If targeting the UK too)_ </w:t>
      </w:r>
      <w:r w:rsidRPr="00CC3DFC">
        <w:rPr>
          <w:b/>
          <w:color w:val="0D0D0D" w:themeColor="text1" w:themeTint="F2"/>
        </w:rPr>
        <w:t>UK is a separate, more-permissive regime</w:t>
      </w:r>
      <w:r w:rsidRPr="00CC3DFC">
        <w:rPr>
          <w:color w:val="0D0D0D" w:themeColor="text1" w:themeTint="F2"/>
        </w:rPr>
        <w:t xml:space="preserve"> — the </w:t>
      </w:r>
      <w:r w:rsidRPr="00CC3DFC">
        <w:rPr>
          <w:b/>
          <w:color w:val="0D0D0D" w:themeColor="text1" w:themeTint="F2"/>
        </w:rPr>
        <w:t>Data (Use and Access) Act 2025</w:t>
      </w:r>
      <w:r w:rsidRPr="00CC3DFC">
        <w:rPr>
          <w:color w:val="0D0D0D" w:themeColor="text1" w:themeTint="F2"/>
        </w:rPr>
        <w:t xml:space="preserve"> (in force 5 Feb 2026) replaced Art 22: automated CV screening is allowed on </w:t>
      </w:r>
      <w:r w:rsidRPr="00CC3DFC">
        <w:rPr>
          <w:b/>
          <w:color w:val="0D0D0D" w:themeColor="text1" w:themeTint="F2"/>
        </w:rPr>
        <w:t>legitimate interests + safeguards</w:t>
      </w:r>
      <w:r w:rsidRPr="00CC3DFC">
        <w:rPr>
          <w:color w:val="0D0D0D" w:themeColor="text1" w:themeTint="F2"/>
        </w:rPr>
        <w:t xml:space="preserve"> (transparency, human review, right to contest), and the </w:t>
      </w:r>
      <w:r w:rsidRPr="00CC3DFC">
        <w:rPr>
          <w:b/>
          <w:color w:val="0D0D0D" w:themeColor="text1" w:themeTint="F2"/>
        </w:rPr>
        <w:t>ICO is actively enforcing</w:t>
      </w:r>
      <w:r w:rsidRPr="00CC3DFC">
        <w:rPr>
          <w:color w:val="0D0D0D" w:themeColor="text1" w:themeTint="F2"/>
        </w:rPr>
        <w:t xml:space="preserve"> on AI hiring. UK uses the </w:t>
      </w:r>
      <w:r w:rsidRPr="00CC3DFC">
        <w:rPr>
          <w:b/>
          <w:color w:val="0D0D0D" w:themeColor="text1" w:themeTint="F2"/>
        </w:rPr>
        <w:t>UK-US Data Bridge</w:t>
      </w:r>
      <w:r w:rsidRPr="00CC3DFC">
        <w:rPr>
          <w:color w:val="0D0D0D" w:themeColor="text1" w:themeTint="F2"/>
        </w:rPr>
        <w:t xml:space="preserve"> for US transfers and is </w:t>
      </w:r>
      <w:r w:rsidRPr="00CC3DFC">
        <w:rPr>
          <w:b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under the EU AI Act. Run a separate UK track.</w:t>
      </w:r>
    </w:p>
    <w:p w14:paraId="054B707B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Part 2 sources (verified 2026-06-26)</w:t>
      </w:r>
    </w:p>
    <w:p w14:paraId="3A26CDF7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AI Act high-risk timeline + Digital Omnibus deferral to ~2 Dec 2027 — </w:t>
      </w:r>
      <w:hyperlink r:id="rId8">
        <w:r w:rsidRPr="00CC3DFC">
          <w:rPr>
            <w:color w:val="0D0D0D" w:themeColor="text1" w:themeTint="F2"/>
            <w:u w:val="single"/>
          </w:rPr>
          <w:t>DLA Piper</w:t>
        </w:r>
      </w:hyperlink>
      <w:r w:rsidRPr="00CC3DFC">
        <w:rPr>
          <w:color w:val="0D0D0D" w:themeColor="text1" w:themeTint="F2"/>
        </w:rPr>
        <w:t xml:space="preserve">, </w:t>
      </w:r>
      <w:hyperlink r:id="rId9">
        <w:r w:rsidRPr="00CC3DFC">
          <w:rPr>
            <w:color w:val="0D0D0D" w:themeColor="text1" w:themeTint="F2"/>
            <w:u w:val="single"/>
          </w:rPr>
          <w:t>Crowell &amp; Moring</w:t>
        </w:r>
      </w:hyperlink>
      <w:r w:rsidRPr="00CC3DFC">
        <w:rPr>
          <w:color w:val="0D0D0D" w:themeColor="text1" w:themeTint="F2"/>
        </w:rPr>
        <w:t xml:space="preserve">, </w:t>
      </w:r>
      <w:hyperlink r:id="rId10">
        <w:r w:rsidRPr="00CC3DFC">
          <w:rPr>
            <w:color w:val="0D0D0D" w:themeColor="text1" w:themeTint="F2"/>
            <w:u w:val="single"/>
          </w:rPr>
          <w:t>EU AI Act portal</w:t>
        </w:r>
      </w:hyperlink>
    </w:p>
    <w:p w14:paraId="7DB847CE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Emotion-recognition-in-workplace prohibition (Art 5(1)(f)) — </w:t>
      </w:r>
      <w:hyperlink r:id="rId11">
        <w:r w:rsidRPr="00CC3DFC">
          <w:rPr>
            <w:color w:val="0D0D0D" w:themeColor="text1" w:themeTint="F2"/>
            <w:u w:val="single"/>
          </w:rPr>
          <w:t>FPF</w:t>
        </w:r>
      </w:hyperlink>
      <w:r w:rsidRPr="00CC3DFC">
        <w:rPr>
          <w:color w:val="0D0D0D" w:themeColor="text1" w:themeTint="F2"/>
        </w:rPr>
        <w:t xml:space="preserve">, </w:t>
      </w:r>
      <w:hyperlink r:id="rId12">
        <w:r w:rsidRPr="00CC3DFC">
          <w:rPr>
            <w:color w:val="0D0D0D" w:themeColor="text1" w:themeTint="F2"/>
            <w:u w:val="single"/>
          </w:rPr>
          <w:t>Wolters Kluwer</w:t>
        </w:r>
      </w:hyperlink>
    </w:p>
    <w:p w14:paraId="21A7AA31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GDPR biometric proctoring / facial-recognition enforcement + DPIA — </w:t>
      </w:r>
      <w:hyperlink r:id="rId13">
        <w:r w:rsidRPr="00CC3DFC">
          <w:rPr>
            <w:color w:val="0D0D0D" w:themeColor="text1" w:themeTint="F2"/>
            <w:u w:val="single"/>
          </w:rPr>
          <w:t>VinciWorks (Ireland €550k)</w:t>
        </w:r>
      </w:hyperlink>
      <w:r w:rsidRPr="00CC3DFC">
        <w:rPr>
          <w:color w:val="0D0D0D" w:themeColor="text1" w:themeTint="F2"/>
        </w:rPr>
        <w:t xml:space="preserve">, </w:t>
      </w:r>
      <w:hyperlink r:id="rId14">
        <w:r w:rsidRPr="00CC3DFC">
          <w:rPr>
            <w:color w:val="0D0D0D" w:themeColor="text1" w:themeTint="F2"/>
            <w:u w:val="single"/>
          </w:rPr>
          <w:t>EDPB facial-recognition guidance</w:t>
        </w:r>
      </w:hyperlink>
    </w:p>
    <w:p w14:paraId="3838D31F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EU-US DPF valid in 2026 (Latombe); India no adequacy until ~2028–29 — </w:t>
      </w:r>
      <w:hyperlink r:id="rId15">
        <w:r w:rsidRPr="00CC3DFC">
          <w:rPr>
            <w:color w:val="0D0D0D" w:themeColor="text1" w:themeTint="F2"/>
            <w:u w:val="single"/>
          </w:rPr>
          <w:t>Epstein Becker Green</w:t>
        </w:r>
      </w:hyperlink>
      <w:r w:rsidRPr="00CC3DFC">
        <w:rPr>
          <w:color w:val="0D0D0D" w:themeColor="text1" w:themeTint="F2"/>
        </w:rPr>
        <w:t xml:space="preserve">, </w:t>
      </w:r>
      <w:hyperlink r:id="rId16">
        <w:r w:rsidRPr="00CC3DFC">
          <w:rPr>
            <w:color w:val="0D0D0D" w:themeColor="text1" w:themeTint="F2"/>
            <w:u w:val="single"/>
          </w:rPr>
          <w:t>eucrim</w:t>
        </w:r>
      </w:hyperlink>
      <w:r w:rsidRPr="00CC3DFC">
        <w:rPr>
          <w:color w:val="0D0D0D" w:themeColor="text1" w:themeTint="F2"/>
        </w:rPr>
        <w:t xml:space="preserve">, </w:t>
      </w:r>
      <w:hyperlink r:id="rId17">
        <w:r w:rsidRPr="00CC3DFC">
          <w:rPr>
            <w:color w:val="0D0D0D" w:themeColor="text1" w:themeTint="F2"/>
            <w:u w:val="single"/>
          </w:rPr>
          <w:t>DPDPA.com India adequacy</w:t>
        </w:r>
      </w:hyperlink>
    </w:p>
    <w:p w14:paraId="77082460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br w:type="page"/>
      </w:r>
    </w:p>
    <w:p w14:paraId="0E686818" w14:textId="77777777" w:rsidR="00C516AA" w:rsidRPr="00CC3DFC" w:rsidRDefault="00000000">
      <w:pPr>
        <w:pStyle w:val="Heading1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Part 3 — EU/EEA Compliance Plan (full working document)</w:t>
      </w:r>
    </w:p>
    <w:p w14:paraId="566E25E0" w14:textId="77777777" w:rsidR="00C516AA" w:rsidRPr="00CC3DFC" w:rsidRDefault="00000000">
      <w:pPr>
        <w:pStyle w:val="Quote"/>
        <w:rPr>
          <w:color w:val="0D0D0D" w:themeColor="text1" w:themeTint="F2"/>
        </w:rPr>
      </w:pPr>
      <w:r w:rsidRPr="00CC3DFC">
        <w:rPr>
          <w:b/>
          <w:i w:val="0"/>
          <w:color w:val="0D0D0D" w:themeColor="text1" w:themeTint="F2"/>
        </w:rPr>
        <w:t>What this is:</w:t>
      </w:r>
      <w:r w:rsidRPr="00CC3DFC">
        <w:rPr>
          <w:i w:val="0"/>
          <w:color w:val="0D0D0D" w:themeColor="text1" w:themeTint="F2"/>
        </w:rPr>
        <w:t xml:space="preserve"> the complete, do-it-top-to-bottom plan for taking IntervieHire into the EU/EEA. Everything is listed — nothing summarised away. Work through it in the order written; each step is placed where it is because it either removes the biggest risk, unblocks later steps, or is cheap to do now. The concise one-pager is </w:t>
      </w:r>
      <w:r w:rsidRPr="00CC3DFC">
        <w:rPr>
          <w:b/>
          <w:i w:val="0"/>
          <w:color w:val="0D0D0D" w:themeColor="text1" w:themeTint="F2"/>
        </w:rPr>
        <w:t>Part 1</w:t>
      </w:r>
      <w:r w:rsidRPr="00CC3DFC">
        <w:rPr>
          <w:i w:val="0"/>
          <w:color w:val="0D0D0D" w:themeColor="text1" w:themeTint="F2"/>
        </w:rPr>
        <w:t xml:space="preserve"> above; India is </w:t>
      </w:r>
      <w:hyperlink r:id="rId18">
        <w:r w:rsidRPr="00CC3DFC">
          <w:rPr>
            <w:color w:val="0D0D0D" w:themeColor="text1" w:themeTint="F2"/>
            <w:u w:val="single"/>
          </w:rPr>
          <w:t>ROADMAP.md</w:t>
        </w:r>
      </w:hyperlink>
      <w:r w:rsidRPr="00CC3DFC">
        <w:rPr>
          <w:i w:val="0"/>
          <w:color w:val="0D0D0D" w:themeColor="text1" w:themeTint="F2"/>
        </w:rPr>
        <w:t>.</w:t>
      </w:r>
    </w:p>
    <w:p w14:paraId="5AAFF550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Read this before anything else — the two hard constraints</w:t>
      </w:r>
    </w:p>
    <w:p w14:paraId="2B62F054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These two shape every decision below. They are not tasks; they are the boundaries you design within.</w:t>
      </w:r>
    </w:p>
    <w:p w14:paraId="0DAAA06F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Constraint A — Emotion recognition in the workplace is banned (EU AI Act, Art 5(1)(f)).</w:t>
      </w:r>
      <w:r w:rsidRPr="00CC3DFC">
        <w:rPr>
          <w:color w:val="0D0D0D" w:themeColor="text1" w:themeTint="F2"/>
        </w:rPr>
        <w:t xml:space="preserve"> AI that infers a person's emotions from biometric data in a workplace/education context is a </w:t>
      </w:r>
      <w:r w:rsidRPr="00CC3DFC">
        <w:rPr>
          <w:i/>
          <w:color w:val="0D0D0D" w:themeColor="text1" w:themeTint="F2"/>
        </w:rPr>
        <w:t>prohibited practice</w:t>
      </w:r>
      <w:r w:rsidRPr="00CC3DFC">
        <w:rPr>
          <w:color w:val="0D0D0D" w:themeColor="text1" w:themeTint="F2"/>
        </w:rPr>
        <w:t xml:space="preserve"> (in force since Feb 2025), punishable by up to </w:t>
      </w:r>
      <w:r w:rsidRPr="00CC3DFC">
        <w:rPr>
          <w:b/>
          <w:color w:val="0D0D0D" w:themeColor="text1" w:themeTint="F2"/>
        </w:rPr>
        <w:t>€35M or 7% of global annual turnover</w:t>
      </w:r>
      <w:r w:rsidRPr="00CC3DFC">
        <w:rPr>
          <w:color w:val="0D0D0D" w:themeColor="text1" w:themeTint="F2"/>
        </w:rPr>
        <w:t>. A candidate assessment is very likely treated as a "workplace" context.</w:t>
      </w:r>
    </w:p>
    <w:p w14:paraId="65D97499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Where you stand (verified in code 2026-06-26):</w:t>
      </w:r>
      <w:r w:rsidRPr="00CC3DFC">
        <w:rPr>
          <w:color w:val="0D0D0D" w:themeColor="text1" w:themeTint="F2"/>
        </w:rPr>
        <w:t xml:space="preserve"> your </w:t>
      </w:r>
      <w:r w:rsidRPr="00CC3DFC">
        <w:rPr>
          <w:rFonts w:ascii="Consolas" w:hAnsi="Consolas"/>
          <w:color w:val="0D0D0D" w:themeColor="text1" w:themeTint="F2"/>
          <w:sz w:val="19"/>
        </w:rPr>
        <w:t>GAZE_AWAY</w:t>
      </w:r>
      <w:r w:rsidRPr="00CC3DFC">
        <w:rPr>
          <w:color w:val="0D0D0D" w:themeColor="text1" w:themeTint="F2"/>
        </w:rPr>
        <w:t xml:space="preserve"> detection reads eye </w:t>
      </w:r>
      <w:r w:rsidRPr="00CC3DFC">
        <w:rPr>
          <w:i/>
          <w:color w:val="0D0D0D" w:themeColor="text1" w:themeTint="F2"/>
        </w:rPr>
        <w:t>direction</w:t>
      </w:r>
      <w:r w:rsidRPr="00CC3DFC">
        <w:rPr>
          <w:color w:val="0D0D0D" w:themeColor="text1" w:themeTint="F2"/>
        </w:rPr>
        <w:t xml:space="preserve"> (geometry + MediaPipe eye-look blendshapes) and flags a behavioural event — it does </w:t>
      </w:r>
      <w:r w:rsidRPr="00CC3DFC">
        <w:rPr>
          <w:b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infer an emotion, so it is </w:t>
      </w:r>
      <w:r w:rsidRPr="00CC3DFC">
        <w:rPr>
          <w:b/>
          <w:color w:val="0D0D0D" w:themeColor="text1" w:themeTint="F2"/>
        </w:rPr>
        <w:t>most likely outside the ban</w:t>
      </w:r>
      <w:r w:rsidRPr="00CC3DFC">
        <w:rPr>
          <w:color w:val="0D0D0D" w:themeColor="text1" w:themeTint="F2"/>
        </w:rPr>
        <w:t xml:space="preserve">. The avatar's </w:t>
      </w:r>
      <w:r w:rsidRPr="00CC3DFC">
        <w:rPr>
          <w:rFonts w:ascii="Consolas" w:hAnsi="Consolas"/>
          <w:color w:val="0D0D0D" w:themeColor="text1" w:themeTint="F2"/>
          <w:sz w:val="19"/>
        </w:rPr>
        <w:t>emotionState</w:t>
      </w:r>
      <w:r w:rsidRPr="00CC3DFC">
        <w:rPr>
          <w:color w:val="0D0D0D" w:themeColor="text1" w:themeTint="F2"/>
        </w:rPr>
        <w:t xml:space="preserve"> field is the </w:t>
      </w:r>
      <w:r w:rsidRPr="00CC3DFC">
        <w:rPr>
          <w:i/>
          <w:color w:val="0D0D0D" w:themeColor="text1" w:themeTint="F2"/>
        </w:rPr>
        <w:t>AI interviewer's own</w:t>
      </w:r>
      <w:r w:rsidRPr="00CC3DFC">
        <w:rPr>
          <w:color w:val="0D0D0D" w:themeColor="text1" w:themeTint="F2"/>
        </w:rPr>
        <w:t xml:space="preserve"> expression, not an inference about the candidate — also fine.</w:t>
      </w:r>
    </w:p>
    <w:p w14:paraId="625B0D36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The line you must never cross:</w:t>
      </w:r>
      <w:r w:rsidRPr="00CC3DFC">
        <w:rPr>
          <w:color w:val="0D0D0D" w:themeColor="text1" w:themeTint="F2"/>
        </w:rPr>
        <w:t xml:space="preserve"> the moment any face/gaze/voice signal is turned into an inferred emotional or mental state — "nervous", "disengaged", "stressed", "dishonest", "low confidence", "likely cheating" — you are in prohibited territory. Keep every proctoring output a </w:t>
      </w:r>
      <w:r w:rsidRPr="00CC3DFC">
        <w:rPr>
          <w:i/>
          <w:color w:val="0D0D0D" w:themeColor="text1" w:themeTint="F2"/>
        </w:rPr>
        <w:t>fact</w:t>
      </w:r>
      <w:r w:rsidRPr="00CC3DFC">
        <w:rPr>
          <w:color w:val="0D0D0D" w:themeColor="text1" w:themeTint="F2"/>
        </w:rPr>
        <w:t xml:space="preserve">, never a </w:t>
      </w:r>
      <w:r w:rsidRPr="00CC3DFC">
        <w:rPr>
          <w:i/>
          <w:color w:val="0D0D0D" w:themeColor="text1" w:themeTint="F2"/>
        </w:rPr>
        <w:t>feeling</w:t>
      </w:r>
      <w:r w:rsidRPr="00CC3DFC">
        <w:rPr>
          <w:color w:val="0D0D0D" w:themeColor="text1" w:themeTint="F2"/>
        </w:rPr>
        <w:t>.</w:t>
      </w:r>
    </w:p>
    <w:p w14:paraId="5A16C594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b/>
          <w:color w:val="0D0D0D" w:themeColor="text1" w:themeTint="F2"/>
        </w:rPr>
        <w:t>Constraint B — Biometric proctoring under GDPR is legally precarious.</w:t>
      </w:r>
      <w:r w:rsidRPr="00CC3DFC">
        <w:rPr>
          <w:color w:val="0D0D0D" w:themeColor="text1" w:themeTint="F2"/>
        </w:rPr>
        <w:t xml:space="preserve"> Face and voice processed to monitor a candidate are </w:t>
      </w:r>
      <w:r w:rsidRPr="00CC3DFC">
        <w:rPr>
          <w:b/>
          <w:color w:val="0D0D0D" w:themeColor="text1" w:themeTint="F2"/>
        </w:rPr>
        <w:t>special-category data</w:t>
      </w:r>
      <w:r w:rsidRPr="00CC3DFC">
        <w:rPr>
          <w:color w:val="0D0D0D" w:themeColor="text1" w:themeTint="F2"/>
        </w:rPr>
        <w:t xml:space="preserve"> (GDPR Art 9). To do it at all you need an Art 9 condition (practically explicit consent) </w:t>
      </w:r>
      <w:r w:rsidRPr="00CC3DFC">
        <w:rPr>
          <w:b/>
          <w:color w:val="0D0D0D" w:themeColor="text1" w:themeTint="F2"/>
        </w:rPr>
        <w:t>plus</w:t>
      </w:r>
      <w:r w:rsidRPr="00CC3DFC">
        <w:rPr>
          <w:color w:val="0D0D0D" w:themeColor="text1" w:themeTint="F2"/>
        </w:rPr>
        <w:t xml:space="preserve"> proof it is necessary and proportionate </w:t>
      </w:r>
      <w:r w:rsidRPr="00CC3DFC">
        <w:rPr>
          <w:b/>
          <w:color w:val="0D0D0D" w:themeColor="text1" w:themeTint="F2"/>
        </w:rPr>
        <w:t>plus</w:t>
      </w:r>
      <w:r w:rsidRPr="00CC3DFC">
        <w:rPr>
          <w:color w:val="0D0D0D" w:themeColor="text1" w:themeTint="F2"/>
        </w:rPr>
        <w:t xml:space="preserve"> a completed DPIA. EU regulators distrust "consent" in hiring (the candidate can't freely refuse) and have fined facial-recognition deployments. Realistically, for EU candidates, </w:t>
      </w:r>
      <w:r w:rsidRPr="00CC3DFC">
        <w:rPr>
          <w:b/>
          <w:color w:val="0D0D0D" w:themeColor="text1" w:themeTint="F2"/>
        </w:rPr>
        <w:t>biometric proctoring becomes optional-with-a-real-alternative or is switched off</w:t>
      </w:r>
      <w:r w:rsidRPr="00CC3DFC">
        <w:rPr>
          <w:color w:val="0D0D0D" w:themeColor="text1" w:themeTint="F2"/>
        </w:rPr>
        <w:t xml:space="preserve"> — decided below.</w:t>
      </w:r>
    </w:p>
    <w:p w14:paraId="36A6AD5C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1. Lock these decisions first</w:t>
      </w:r>
    </w:p>
    <w:p w14:paraId="33558029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They are free, they take an afternoon, and almost everything downstream depends on them. Write the answer next to each.</w:t>
      </w:r>
    </w:p>
    <w:p w14:paraId="7222614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Is the UK in scope, or EU/EEA only?</w:t>
      </w:r>
      <w:r w:rsidRPr="00CC3DFC">
        <w:rPr>
          <w:color w:val="0D0D0D" w:themeColor="text1" w:themeTint="F2"/>
        </w:rPr>
        <w:t xml:space="preserve"> The UK is now a </w:t>
      </w:r>
      <w:r w:rsidRPr="00CC3DFC">
        <w:rPr>
          <w:i/>
          <w:color w:val="0D0D0D" w:themeColor="text1" w:themeTint="F2"/>
        </w:rPr>
        <w:t>separate, more permissive</w:t>
      </w:r>
      <w:r w:rsidRPr="00CC3DFC">
        <w:rPr>
          <w:color w:val="0D0D0D" w:themeColor="text1" w:themeTint="F2"/>
        </w:rPr>
        <w:t xml:space="preserve"> regime (see §11). If yes, you run a second, parallel track. Decision: ________________.</w:t>
      </w:r>
    </w:p>
    <w:p w14:paraId="2BFB16CC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Biometric proctoring for EU candidates — off by default, or optional + DPIA?</w:t>
      </w:r>
      <w:r w:rsidRPr="00CC3DFC">
        <w:rPr>
          <w:color w:val="0D0D0D" w:themeColor="text1" w:themeTint="F2"/>
        </w:rPr>
        <w:t xml:space="preserve"> This is the single biggest product decision for the EU. "Off by default with the typed interview as the path" is the lowest-risk and fastest to ship. Decision: ________________.</w:t>
      </w:r>
    </w:p>
    <w:p w14:paraId="5AA64B87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EU data residency — pin EU candidates to an EU Supabase region?</w:t>
      </w:r>
      <w:r w:rsidRPr="00CC3DFC">
        <w:rPr>
          <w:color w:val="0D0D0D" w:themeColor="text1" w:themeTint="F2"/>
        </w:rPr>
        <w:t xml:space="preserve"> Supabase </w:t>
      </w:r>
      <w:r w:rsidRPr="00CC3DFC">
        <w:rPr>
          <w:i/>
          <w:color w:val="0D0D0D" w:themeColor="text1" w:themeTint="F2"/>
        </w:rPr>
        <w:t>does</w:t>
      </w:r>
      <w:r w:rsidRPr="00CC3DFC">
        <w:rPr>
          <w:color w:val="0D0D0D" w:themeColor="text1" w:themeTint="F2"/>
        </w:rPr>
        <w:t xml:space="preserve"> offer EU regions (it offers none for India), so this is achievable and kills most of the transfer problem. Strongly recommended. Decision: ________________.</w:t>
      </w:r>
    </w:p>
    <w:p w14:paraId="38AC5575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 xml:space="preserve">☐  </w:t>
      </w:r>
      <w:r w:rsidRPr="00CC3DFC">
        <w:rPr>
          <w:b/>
          <w:color w:val="0D0D0D" w:themeColor="text1" w:themeTint="F2"/>
        </w:rPr>
        <w:t>Which EU member states first?</w:t>
      </w:r>
      <w:r w:rsidRPr="00CC3DFC">
        <w:rPr>
          <w:color w:val="0D0D0D" w:themeColor="text1" w:themeTint="F2"/>
        </w:rPr>
        <w:t xml:space="preserve"> Some have transposed Pay Transparency and have stricter works- council rules (e.g. Germany); narrowing the launch set simplifies the first pass. Decision: ______.</w:t>
      </w:r>
    </w:p>
    <w:p w14:paraId="4657340F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Who is the responsible owner + the external EU lawyer?</w:t>
      </w:r>
      <w:r w:rsidRPr="00CC3DFC">
        <w:rPr>
          <w:color w:val="0D0D0D" w:themeColor="text1" w:themeTint="F2"/>
        </w:rPr>
        <w:t xml:space="preserve"> Nothing here is "done" until a lawyer signs the lawful basis, DPIA, and notice. Line one up now. Decision: ________________.</w:t>
      </w:r>
    </w:p>
    <w:p w14:paraId="1A74F307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2. Run these audits now (cheap, just reading code/config)</w:t>
      </w:r>
    </w:p>
    <w:p w14:paraId="139C0346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Findings here change what you build, so do them before building.</w:t>
      </w:r>
    </w:p>
    <w:p w14:paraId="633662F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Emotion-inference audit (largely done).</w:t>
      </w:r>
      <w:r w:rsidRPr="00CC3DFC">
        <w:rPr>
          <w:color w:val="0D0D0D" w:themeColor="text1" w:themeTint="F2"/>
        </w:rPr>
        <w:t xml:space="preserve"> Confirm no part of proctoring or scoring labels an emotional/mental state from biometric data. Status: </w:t>
      </w:r>
      <w:r w:rsidRPr="00CC3DFC">
        <w:rPr>
          <w:rFonts w:ascii="Consolas" w:hAnsi="Consolas"/>
          <w:color w:val="0D0D0D" w:themeColor="text1" w:themeTint="F2"/>
          <w:sz w:val="19"/>
        </w:rPr>
        <w:t>GAZE_AWAY</w:t>
      </w:r>
      <w:r w:rsidRPr="00CC3DFC">
        <w:rPr>
          <w:color w:val="0D0D0D" w:themeColor="text1" w:themeTint="F2"/>
        </w:rPr>
        <w:t xml:space="preserve"> clear; avatar </w:t>
      </w:r>
      <w:r w:rsidRPr="00CC3DFC">
        <w:rPr>
          <w:rFonts w:ascii="Consolas" w:hAnsi="Consolas"/>
          <w:color w:val="0D0D0D" w:themeColor="text1" w:themeTint="F2"/>
          <w:sz w:val="19"/>
        </w:rPr>
        <w:t>emotionState</w:t>
      </w:r>
      <w:r w:rsidRPr="00CC3DFC">
        <w:rPr>
          <w:color w:val="0D0D0D" w:themeColor="text1" w:themeTint="F2"/>
        </w:rPr>
        <w:t xml:space="preserve"> clear. Re-check on every future proctoring change.</w:t>
      </w:r>
    </w:p>
    <w:p w14:paraId="387F124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Salary-history audit.</w:t>
      </w:r>
      <w:r w:rsidRPr="00CC3DFC">
        <w:rPr>
          <w:color w:val="0D0D0D" w:themeColor="text1" w:themeTint="F2"/>
        </w:rPr>
        <w:t xml:space="preserve"> The EU Pay Transparency Directive bans asking candidates about current or past pay. Grep the intake/application forms and candidate model for any salary-history / current-CTC / expected-pay field. If present, it must go (for EU). Touchpoints: </w:t>
      </w:r>
      <w:r w:rsidRPr="00CC3DFC">
        <w:rPr>
          <w:rFonts w:ascii="Consolas" w:hAnsi="Consolas"/>
          <w:color w:val="0D0D0D" w:themeColor="text1" w:themeTint="F2"/>
          <w:sz w:val="19"/>
        </w:rPr>
        <w:t>dashboard/</w:t>
      </w:r>
      <w:r w:rsidRPr="00CC3DFC">
        <w:rPr>
          <w:color w:val="0D0D0D" w:themeColor="text1" w:themeTint="F2"/>
        </w:rPr>
        <w:t xml:space="preserve"> application forms, </w:t>
      </w:r>
      <w:r w:rsidRPr="00CC3DFC">
        <w:rPr>
          <w:rFonts w:ascii="Consolas" w:hAnsi="Consolas"/>
          <w:color w:val="0D0D0D" w:themeColor="text1" w:themeTint="F2"/>
          <w:sz w:val="19"/>
        </w:rPr>
        <w:t>backend/app/models</w:t>
      </w:r>
      <w:r w:rsidRPr="00CC3DFC">
        <w:rPr>
          <w:color w:val="0D0D0D" w:themeColor="text1" w:themeTint="F2"/>
        </w:rPr>
        <w:t xml:space="preserve"> applicant fields, any "custom fields".</w:t>
      </w:r>
    </w:p>
    <w:p w14:paraId="7DEC9C8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Sub-processor inventory + transfer status.</w:t>
      </w:r>
      <w:r w:rsidRPr="00CC3DFC">
        <w:rPr>
          <w:color w:val="0D0D0D" w:themeColor="text1" w:themeTint="F2"/>
        </w:rPr>
        <w:t xml:space="preserve"> List every third party that can receive EU personal data and note whether each is </w:t>
      </w:r>
      <w:r w:rsidRPr="00CC3DFC">
        <w:rPr>
          <w:b/>
          <w:color w:val="0D0D0D" w:themeColor="text1" w:themeTint="F2"/>
        </w:rPr>
        <w:t>EU-US DPF certified</w:t>
      </w:r>
      <w:r w:rsidRPr="00CC3DFC">
        <w:rPr>
          <w:color w:val="0D0D0D" w:themeColor="text1" w:themeTint="F2"/>
        </w:rPr>
        <w:t xml:space="preserve"> or needs </w:t>
      </w:r>
      <w:r w:rsidRPr="00CC3DFC">
        <w:rPr>
          <w:b/>
          <w:color w:val="0D0D0D" w:themeColor="text1" w:themeTint="F2"/>
        </w:rPr>
        <w:t>SCCs</w:t>
      </w:r>
      <w:r w:rsidRPr="00CC3DFC">
        <w:rPr>
          <w:color w:val="0D0D0D" w:themeColor="text1" w:themeTint="F2"/>
        </w:rPr>
        <w:t xml:space="preserve">: the new US LLM, </w:t>
      </w:r>
      <w:r w:rsidRPr="00CC3DFC">
        <w:rPr>
          <w:b/>
          <w:color w:val="0D0D0D" w:themeColor="text1" w:themeTint="F2"/>
        </w:rPr>
        <w:t>Supabase, Render, Vercel, Deepgram, OpenAI/Whisper, OpenRouter, ElevenLabs, Convai, Google (Calendar/CSE), Resend, Gemini, Groq, GitHub/Brave (Talent Finder)</w:t>
      </w:r>
      <w:r w:rsidRPr="00CC3DFC">
        <w:rPr>
          <w:color w:val="0D0D0D" w:themeColor="text1" w:themeTint="F2"/>
        </w:rPr>
        <w:t>. This list feeds the notice, the DPA, and §7.</w:t>
      </w:r>
    </w:p>
    <w:p w14:paraId="793EFC5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Confidence-metric fairness audit.</w:t>
      </w:r>
      <w:r w:rsidRPr="00CC3DFC">
        <w:rPr>
          <w:color w:val="0D0D0D" w:themeColor="text1" w:themeTint="F2"/>
        </w:rPr>
        <w:t xml:space="preserve"> </w:t>
      </w:r>
      <w:r w:rsidRPr="00CC3DFC">
        <w:rPr>
          <w:rFonts w:ascii="Consolas" w:hAnsi="Consolas"/>
          <w:color w:val="0D0D0D" w:themeColor="text1" w:themeTint="F2"/>
          <w:sz w:val="19"/>
        </w:rPr>
        <w:t>analyzeTranscriptConfidence</w:t>
      </w:r>
      <w:r w:rsidRPr="00CC3DFC">
        <w:rPr>
          <w:color w:val="0D0D0D" w:themeColor="text1" w:themeTint="F2"/>
        </w:rPr>
        <w:t xml:space="preserve"> penalises filler words and hedging ("um", "i guess", "not sure"). It's text-based (so </w:t>
      </w:r>
      <w:r w:rsidRPr="00CC3DFC">
        <w:rPr>
          <w:i/>
          <w:color w:val="0D0D0D" w:themeColor="text1" w:themeTint="F2"/>
        </w:rPr>
        <w:t>outside</w:t>
      </w:r>
      <w:r w:rsidRPr="00CC3DFC">
        <w:rPr>
          <w:color w:val="0D0D0D" w:themeColor="text1" w:themeTint="F2"/>
        </w:rPr>
        <w:t xml:space="preserve"> the emotion ban) but is a real </w:t>
      </w:r>
      <w:r w:rsidRPr="00CC3DFC">
        <w:rPr>
          <w:b/>
          <w:color w:val="0D0D0D" w:themeColor="text1" w:themeTint="F2"/>
        </w:rPr>
        <w:t>discrimination risk</w:t>
      </w:r>
      <w:r w:rsidRPr="00CC3DFC">
        <w:rPr>
          <w:color w:val="0D0D0D" w:themeColor="text1" w:themeTint="F2"/>
        </w:rPr>
        <w:t xml:space="preserve"> — it disadvantages non-native speakers, neurodivergent candidates, and people with speech disfluencies. Quantify how much it can move a hire/no-hire outcome, and cap or remove it. Touchpoint: </w:t>
      </w:r>
      <w:r w:rsidRPr="00CC3DFC">
        <w:rPr>
          <w:rFonts w:ascii="Consolas" w:hAnsi="Consolas"/>
          <w:color w:val="0D0D0D" w:themeColor="text1" w:themeTint="F2"/>
          <w:sz w:val="19"/>
        </w:rPr>
        <w:t>interview-engine/packages/shared/src/evaluation/confidence.ts</w:t>
      </w:r>
      <w:r w:rsidRPr="00CC3DFC">
        <w:rPr>
          <w:color w:val="0D0D0D" w:themeColor="text1" w:themeTint="F2"/>
        </w:rPr>
        <w:t>.</w:t>
      </w:r>
    </w:p>
    <w:p w14:paraId="00630F6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Talent Finder audit.</w:t>
      </w:r>
      <w:r w:rsidRPr="00CC3DFC">
        <w:rPr>
          <w:color w:val="0D0D0D" w:themeColor="text1" w:themeTint="F2"/>
        </w:rPr>
        <w:t xml:space="preserve"> It scrapes GitHub/Google/Brave for profiles of people who never applied — under GDPR that needs its own lawful basis and notice (the "publicly available" defence is narrow in the EU). Decide whether Talent Finder is disabled for EU or re-papered.</w:t>
      </w:r>
    </w:p>
    <w:p w14:paraId="73521FF4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3. Ship these quick fixes (small code/config, high value, needed anyway)</w:t>
      </w:r>
    </w:p>
    <w:p w14:paraId="30A0CF6D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Each is a few hours to a few days and reduces risk immediately.</w:t>
      </w:r>
    </w:p>
    <w:p w14:paraId="24424D2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Label the AI avatar as AI-generated.</w:t>
      </w:r>
      <w:r w:rsidRPr="00CC3DFC">
        <w:rPr>
          <w:color w:val="0D0D0D" w:themeColor="text1" w:themeTint="F2"/>
        </w:rPr>
        <w:t xml:space="preserve"> Required by the EU AI Act transparency rules </w:t>
      </w:r>
      <w:r w:rsidRPr="00CC3DFC">
        <w:rPr>
          <w:i/>
          <w:color w:val="0D0D0D" w:themeColor="text1" w:themeTint="F2"/>
        </w:rPr>
        <w:t>and</w:t>
      </w:r>
      <w:r w:rsidRPr="00CC3DFC">
        <w:rPr>
          <w:color w:val="0D0D0D" w:themeColor="text1" w:themeTint="F2"/>
        </w:rPr>
        <w:t xml:space="preserve"> already required in India (IT "synthetic content" rules). One visible + audible disclosure. Do this regardless of geography. Touchpoint: candidate room / avatar component.</w:t>
      </w:r>
    </w:p>
    <w:p w14:paraId="1E96D917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Pseudonymise the scoring prompt.</w:t>
      </w:r>
      <w:r w:rsidRPr="00CC3DFC">
        <w:rPr>
          <w:color w:val="0D0D0D" w:themeColor="text1" w:themeTint="F2"/>
        </w:rPr>
        <w:t xml:space="preserve"> Today the LLM payload includes </w:t>
      </w:r>
      <w:r w:rsidRPr="00CC3DFC">
        <w:rPr>
          <w:rFonts w:ascii="Consolas" w:hAnsi="Consolas"/>
          <w:color w:val="0D0D0D" w:themeColor="text1" w:themeTint="F2"/>
          <w:sz w:val="19"/>
        </w:rPr>
        <w:t>candidateId</w:t>
      </w:r>
      <w:r w:rsidRPr="00CC3DFC">
        <w:rPr>
          <w:color w:val="0D0D0D" w:themeColor="text1" w:themeTint="F2"/>
        </w:rPr>
        <w:t xml:space="preserve">, </w:t>
      </w:r>
      <w:r w:rsidRPr="00CC3DFC">
        <w:rPr>
          <w:rFonts w:ascii="Consolas" w:hAnsi="Consolas"/>
          <w:color w:val="0D0D0D" w:themeColor="text1" w:themeTint="F2"/>
          <w:sz w:val="19"/>
        </w:rPr>
        <w:t>companyId</w:t>
      </w:r>
      <w:r w:rsidRPr="00CC3DFC">
        <w:rPr>
          <w:color w:val="0D0D0D" w:themeColor="text1" w:themeTint="F2"/>
        </w:rPr>
        <w:t xml:space="preserve">, and the full transcript. The scorer needs only the </w:t>
      </w:r>
      <w:r w:rsidRPr="00CC3DFC">
        <w:rPr>
          <w:b/>
          <w:color w:val="0D0D0D" w:themeColor="text1" w:themeTint="F2"/>
        </w:rPr>
        <w:t>answer text + rubric</w:t>
      </w:r>
      <w:r w:rsidRPr="00CC3DFC">
        <w:rPr>
          <w:color w:val="0D0D0D" w:themeColor="text1" w:themeTint="F2"/>
        </w:rPr>
        <w:t xml:space="preserve">. Strip direct </w:t>
      </w:r>
      <w:r w:rsidRPr="00CC3DFC">
        <w:rPr>
          <w:color w:val="0D0D0D" w:themeColor="text1" w:themeTint="F2"/>
        </w:rPr>
        <w:lastRenderedPageBreak/>
        <w:t xml:space="preserve">identifiers before the call — it shrinks every transfer and every third party's exposure at once. Touchpoints: </w:t>
      </w:r>
      <w:r w:rsidRPr="00CC3DFC">
        <w:rPr>
          <w:rFonts w:ascii="Consolas" w:hAnsi="Consolas"/>
          <w:color w:val="0D0D0D" w:themeColor="text1" w:themeTint="F2"/>
          <w:sz w:val="19"/>
        </w:rPr>
        <w:t>interview-engine/apps/api/src/services/evaluation.service.ts</w:t>
      </w:r>
      <w:r w:rsidRPr="00CC3DFC">
        <w:rPr>
          <w:color w:val="0D0D0D" w:themeColor="text1" w:themeTint="F2"/>
        </w:rPr>
        <w:t xml:space="preserve">, </w:t>
      </w:r>
      <w:r w:rsidRPr="00CC3DFC">
        <w:rPr>
          <w:rFonts w:ascii="Consolas" w:hAnsi="Consolas"/>
          <w:color w:val="0D0D0D" w:themeColor="text1" w:themeTint="F2"/>
          <w:sz w:val="19"/>
        </w:rPr>
        <w:t>backend/app/utils/resume_parser.py</w:t>
      </w:r>
      <w:r w:rsidRPr="00CC3DFC">
        <w:rPr>
          <w:color w:val="0D0D0D" w:themeColor="text1" w:themeTint="F2"/>
        </w:rPr>
        <w:t>.</w:t>
      </w:r>
    </w:p>
    <w:p w14:paraId="1C130DD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Remove the salary-history field for EU</w:t>
      </w:r>
      <w:r w:rsidRPr="00CC3DFC">
        <w:rPr>
          <w:color w:val="0D0D0D" w:themeColor="text1" w:themeTint="F2"/>
        </w:rPr>
        <w:t xml:space="preserve"> (if the §2 audit found one).</w:t>
      </w:r>
    </w:p>
    <w:p w14:paraId="2207AE3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Make proctoring optional for EU with the typed interview as the real alternative</w:t>
      </w:r>
      <w:r w:rsidRPr="00CC3DFC">
        <w:rPr>
          <w:color w:val="0D0D0D" w:themeColor="text1" w:themeTint="F2"/>
        </w:rPr>
        <w:t xml:space="preserve">, and </w:t>
      </w:r>
      <w:r w:rsidRPr="00CC3DFC">
        <w:rPr>
          <w:b/>
          <w:color w:val="0D0D0D" w:themeColor="text1" w:themeTint="F2"/>
        </w:rPr>
        <w:t>never auto-reject on a proctoring "violation"</w:t>
      </w:r>
      <w:r w:rsidRPr="00CC3DFC">
        <w:rPr>
          <w:color w:val="0D0D0D" w:themeColor="text1" w:themeTint="F2"/>
        </w:rPr>
        <w:t xml:space="preserve"> — a human reviews. (Implements Constraint B's decision and pre-satisfies the AI Act human-oversight duty.) Touchpoints: candidate room gating, </w:t>
      </w:r>
      <w:r w:rsidRPr="00CC3DFC">
        <w:rPr>
          <w:rFonts w:ascii="Consolas" w:hAnsi="Consolas"/>
          <w:color w:val="0D0D0D" w:themeColor="text1" w:themeTint="F2"/>
          <w:sz w:val="19"/>
        </w:rPr>
        <w:t>useProctoring.ts</w:t>
      </w:r>
      <w:r w:rsidRPr="00CC3DFC">
        <w:rPr>
          <w:color w:val="0D0D0D" w:themeColor="text1" w:themeTint="F2"/>
        </w:rPr>
        <w:t>.</w:t>
      </w:r>
    </w:p>
    <w:p w14:paraId="1BB2CF58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Finish the DeepSeek → US LLM swap</w:t>
      </w:r>
      <w:r w:rsidRPr="00CC3DFC">
        <w:rPr>
          <w:color w:val="0D0D0D" w:themeColor="text1" w:themeTint="F2"/>
        </w:rPr>
        <w:t xml:space="preserve"> at every call site (engine eval, dashboard resume-analysis, backend resume_parser/deepseek). China has no clean EU transfer path; the US does (DPF). Keep the zero-key deterministic fallback.</w:t>
      </w:r>
    </w:p>
    <w:p w14:paraId="35C91D44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4. Put EU candidate data in the EU</w:t>
      </w:r>
    </w:p>
    <w:p w14:paraId="7F747950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Provision an EU-region Supabase project (or region-pin EU candidates)</w:t>
      </w:r>
      <w:r w:rsidRPr="00CC3DFC">
        <w:rPr>
          <w:color w:val="0D0D0D" w:themeColor="text1" w:themeTint="F2"/>
        </w:rPr>
        <w:t xml:space="preserve"> so EU personal data is stored in the EEA. This is the highest-leverage transfer mitigation — most EU→US storage transfers simply disappear. Touchpoints: </w:t>
      </w:r>
      <w:r w:rsidRPr="00CC3DFC">
        <w:rPr>
          <w:rFonts w:ascii="Consolas" w:hAnsi="Consolas"/>
          <w:color w:val="0D0D0D" w:themeColor="text1" w:themeTint="F2"/>
          <w:sz w:val="19"/>
        </w:rPr>
        <w:t>DATABASE_URL</w:t>
      </w:r>
      <w:r w:rsidRPr="00CC3DFC">
        <w:rPr>
          <w:color w:val="0D0D0D" w:themeColor="text1" w:themeTint="F2"/>
        </w:rPr>
        <w:t xml:space="preserve"> per environment, Render/Vercel region settings.</w:t>
      </w:r>
    </w:p>
    <w:p w14:paraId="325EFA6F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Route EU interviews' ASR/LLM/avatar calls to EU endpoints where the vendor offers them</w:t>
      </w:r>
      <w:r w:rsidRPr="00CC3DFC">
        <w:rPr>
          <w:color w:val="0D0D0D" w:themeColor="text1" w:themeTint="F2"/>
        </w:rPr>
        <w:t xml:space="preserve"> (Deepgram, OpenAI/Azure, etc. have EU options); where they don't, that flow falls under §7 transfers.</w:t>
      </w:r>
    </w:p>
    <w:p w14:paraId="00BA3E48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 xml:space="preserve">Confirm backups, logs, and the </w:t>
      </w:r>
      <w:r w:rsidRPr="00CC3DFC">
        <w:rPr>
          <w:rFonts w:ascii="Consolas" w:hAnsi="Consolas"/>
          <w:b/>
          <w:color w:val="0D0D0D" w:themeColor="text1" w:themeTint="F2"/>
          <w:sz w:val="19"/>
        </w:rPr>
        <w:t>video_url</w:t>
      </w:r>
      <w:r w:rsidRPr="00CC3DFC">
        <w:rPr>
          <w:b/>
          <w:color w:val="0D0D0D" w:themeColor="text1" w:themeTint="F2"/>
        </w:rPr>
        <w:t>/clip storage also stay in-region.</w:t>
      </w:r>
    </w:p>
    <w:p w14:paraId="03F40E5A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5. Establish the legal foundation (lawful basis + DPIA)</w:t>
      </w:r>
    </w:p>
    <w:p w14:paraId="44D73D08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This is the part a lawyer must own; start it early because it gates launch.</w:t>
      </w:r>
    </w:p>
    <w:p w14:paraId="104D32EF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Data Protection Impact Assessment (DPIA).</w:t>
      </w:r>
      <w:r w:rsidRPr="00CC3DFC">
        <w:rPr>
          <w:color w:val="0D0D0D" w:themeColor="text1" w:themeTint="F2"/>
        </w:rPr>
        <w:t xml:space="preserve"> Mandatory here (large-scale special-category biometric data + systematic monitoring + profiling). Must genuinely assess necessity, proportionality, and less-intrusive alternatives — a superficial DPIA is itself a breach. Covers proctoring, voice, AI scoring, and Talent Finder.</w:t>
      </w:r>
    </w:p>
    <w:p w14:paraId="7CA7B8F0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Lawful basis for each processing activity.</w:t>
      </w:r>
      <w:r w:rsidRPr="00CC3DFC">
        <w:rPr>
          <w:color w:val="0D0D0D" w:themeColor="text1" w:themeTint="F2"/>
        </w:rPr>
        <w:t xml:space="preserve"> Consent is weak in recruitment (power imbalance); expect to rely on </w:t>
      </w:r>
      <w:r w:rsidRPr="00CC3DFC">
        <w:rPr>
          <w:b/>
          <w:color w:val="0D0D0D" w:themeColor="text1" w:themeTint="F2"/>
        </w:rPr>
        <w:t>legitimate interests + a documented balancing test</w:t>
      </w:r>
      <w:r w:rsidRPr="00CC3DFC">
        <w:rPr>
          <w:color w:val="0D0D0D" w:themeColor="text1" w:themeTint="F2"/>
        </w:rPr>
        <w:t xml:space="preserve"> for core scoring, with a separate Art 9 condition (explicit consent or substantial-public-interest) for the biometric parts. Lawyer decision.</w:t>
      </w:r>
    </w:p>
    <w:p w14:paraId="496EBF48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Record of Processing Activities (Art 30).</w:t>
      </w:r>
      <w:r w:rsidRPr="00CC3DFC">
        <w:rPr>
          <w:color w:val="0D0D0D" w:themeColor="text1" w:themeTint="F2"/>
        </w:rPr>
        <w:t xml:space="preserve"> Document purposes, categories, recipients, transfers, retention — for you as both controller (self-serve/demo candidates) and processor (recruiter-driven).</w:t>
      </w:r>
    </w:p>
    <w:p w14:paraId="38ACFCC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Retention schedule.</w:t>
      </w:r>
      <w:r w:rsidRPr="00CC3DFC">
        <w:rPr>
          <w:color w:val="0D0D0D" w:themeColor="text1" w:themeTint="F2"/>
        </w:rPr>
        <w:t xml:space="preserve"> Define and enforce deletion timelines per data type (clips, audio, transcripts, scores), aligned with purpose limitation.</w:t>
      </w:r>
    </w:p>
    <w:p w14:paraId="5F6B47E5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6. Build the automated-decision safeguards (GDPR Art 22)</w:t>
      </w:r>
    </w:p>
    <w:p w14:paraId="31B20CF6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Your product scores and ranks candidates — that's automated decision-making with significant effect.</w:t>
      </w:r>
    </w:p>
    <w:p w14:paraId="16A7FB02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Human-in-the-loop:</w:t>
      </w:r>
      <w:r w:rsidRPr="00CC3DFC">
        <w:rPr>
          <w:color w:val="0D0D0D" w:themeColor="text1" w:themeTint="F2"/>
        </w:rPr>
        <w:t xml:space="preserve"> no candidate is rejected </w:t>
      </w:r>
      <w:r w:rsidRPr="00CC3DFC">
        <w:rPr>
          <w:i/>
          <w:color w:val="0D0D0D" w:themeColor="text1" w:themeTint="F2"/>
        </w:rPr>
        <w:t>solely</w:t>
      </w:r>
      <w:r w:rsidRPr="00CC3DFC">
        <w:rPr>
          <w:color w:val="0D0D0D" w:themeColor="text1" w:themeTint="F2"/>
        </w:rPr>
        <w:t xml:space="preserve"> by the AI; a person makes/</w:t>
      </w:r>
      <w:r w:rsidRPr="00CC3DFC">
        <w:rPr>
          <w:i/>
          <w:color w:val="0D0D0D" w:themeColor="text1" w:themeTint="F2"/>
        </w:rPr>
        <w:t>meaningfully</w:t>
      </w:r>
      <w:r w:rsidRPr="00CC3DFC">
        <w:rPr>
          <w:color w:val="0D0D0D" w:themeColor="text1" w:themeTint="F2"/>
        </w:rPr>
        <w:t xml:space="preserve"> reviews the decision. (Also satisfies the AI Act human-oversight requirement.)</w:t>
      </w:r>
    </w:p>
    <w:p w14:paraId="455533B3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Explanation:</w:t>
      </w:r>
      <w:r w:rsidRPr="00CC3DFC">
        <w:rPr>
          <w:color w:val="0D0D0D" w:themeColor="text1" w:themeTint="F2"/>
        </w:rPr>
        <w:t xml:space="preserve"> candidates can be told that AI is used and, in plain terms, how it works.</w:t>
      </w:r>
    </w:p>
    <w:p w14:paraId="70AD27CD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Contest route:</w:t>
      </w:r>
      <w:r w:rsidRPr="00CC3DFC">
        <w:rPr>
          <w:color w:val="0D0D0D" w:themeColor="text1" w:themeTint="F2"/>
        </w:rPr>
        <w:t xml:space="preserve"> a candidate can request human review of, and challenge, an automated score.</w:t>
      </w:r>
    </w:p>
    <w:p w14:paraId="3DDCD224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_(Watch)_ the Digital Omnibus proposes to relax Art 22 — do </w:t>
      </w:r>
      <w:r w:rsidRPr="00CC3DFC">
        <w:rPr>
          <w:b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rely on that yet.</w:t>
      </w:r>
    </w:p>
    <w:p w14:paraId="5B7693DB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7. Set up the international-transfer mechanisms</w:t>
      </w:r>
    </w:p>
    <w:p w14:paraId="6F131E29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>For every flow that still leaves the EEA after §4.</w:t>
      </w:r>
    </w:p>
    <w:p w14:paraId="4B78F06C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EU → US:</w:t>
      </w:r>
      <w:r w:rsidRPr="00CC3DFC">
        <w:rPr>
          <w:color w:val="0D0D0D" w:themeColor="text1" w:themeTint="F2"/>
        </w:rPr>
        <w:t xml:space="preserve"> prefer </w:t>
      </w:r>
      <w:r w:rsidRPr="00CC3DFC">
        <w:rPr>
          <w:b/>
          <w:color w:val="0D0D0D" w:themeColor="text1" w:themeTint="F2"/>
        </w:rPr>
        <w:t>DPF-certified</w:t>
      </w:r>
      <w:r w:rsidRPr="00CC3DFC">
        <w:rPr>
          <w:color w:val="0D0D0D" w:themeColor="text1" w:themeTint="F2"/>
        </w:rPr>
        <w:t xml:space="preserve"> vendors; for any that aren't certified, put </w:t>
      </w:r>
      <w:r w:rsidRPr="00CC3DFC">
        <w:rPr>
          <w:b/>
          <w:color w:val="0D0D0D" w:themeColor="text1" w:themeTint="F2"/>
        </w:rPr>
        <w:t>Standard Contractual Clauses (SCCs) + a Transfer Impact Assessment</w:t>
      </w:r>
      <w:r w:rsidRPr="00CC3DFC">
        <w:rPr>
          <w:color w:val="0D0D0D" w:themeColor="text1" w:themeTint="F2"/>
        </w:rPr>
        <w:t xml:space="preserve"> in place. (DPF is valid in 2026 — it survived the </w:t>
      </w:r>
      <w:r w:rsidRPr="00CC3DFC">
        <w:rPr>
          <w:i/>
          <w:color w:val="0D0D0D" w:themeColor="text1" w:themeTint="F2"/>
        </w:rPr>
        <w:t>Latombe</w:t>
      </w:r>
      <w:r w:rsidRPr="00CC3DFC">
        <w:rPr>
          <w:color w:val="0D0D0D" w:themeColor="text1" w:themeTint="F2"/>
        </w:rPr>
        <w:t xml:space="preserve"> challenge — but is politically fragile; SCCs are the durable backstop.)</w:t>
      </w:r>
    </w:p>
    <w:p w14:paraId="79AC3DD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EU → India:</w:t>
      </w:r>
      <w:r w:rsidRPr="00CC3DFC">
        <w:rPr>
          <w:color w:val="0D0D0D" w:themeColor="text1" w:themeTint="F2"/>
        </w:rPr>
        <w:t xml:space="preserve"> India has </w:t>
      </w:r>
      <w:r w:rsidRPr="00CC3DFC">
        <w:rPr>
          <w:b/>
          <w:color w:val="0D0D0D" w:themeColor="text1" w:themeTint="F2"/>
        </w:rPr>
        <w:t>no EU adequacy</w:t>
      </w:r>
      <w:r w:rsidRPr="00CC3DFC">
        <w:rPr>
          <w:color w:val="0D0D0D" w:themeColor="text1" w:themeTint="F2"/>
        </w:rPr>
        <w:t xml:space="preserve"> (not expected before ~2028–29) → </w:t>
      </w:r>
      <w:r w:rsidRPr="00CC3DFC">
        <w:rPr>
          <w:b/>
          <w:color w:val="0D0D0D" w:themeColor="text1" w:themeTint="F2"/>
        </w:rPr>
        <w:t>SCCs required</w:t>
      </w:r>
      <w:r w:rsidRPr="00CC3DFC">
        <w:rPr>
          <w:color w:val="0D0D0D" w:themeColor="text1" w:themeTint="F2"/>
        </w:rPr>
        <w:t xml:space="preserve"> for any EU candidate data that reaches your India operations/support/storage.</w:t>
      </w:r>
    </w:p>
    <w:p w14:paraId="5FCE574C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EU → China:</w:t>
      </w:r>
      <w:r w:rsidRPr="00CC3DFC">
        <w:rPr>
          <w:color w:val="0D0D0D" w:themeColor="text1" w:themeTint="F2"/>
        </w:rPr>
        <w:t xml:space="preserve"> none — confirmed by removing DeepSeek.</w:t>
      </w:r>
    </w:p>
    <w:p w14:paraId="09F7DCF3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Attach the transfer terms to each sub-processor</w:t>
      </w:r>
      <w:r w:rsidRPr="00CC3DFC">
        <w:rPr>
          <w:color w:val="0D0D0D" w:themeColor="text1" w:themeTint="F2"/>
        </w:rPr>
        <w:t xml:space="preserve"> from the §2 inventory and disclose them in the notice.</w:t>
      </w:r>
    </w:p>
    <w:p w14:paraId="04E3FDB2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8. Produce the EU-facing documents</w:t>
      </w:r>
    </w:p>
    <w:p w14:paraId="3988379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EU privacy notice (GDPR Arts 13–14).</w:t>
      </w:r>
      <w:r w:rsidRPr="00CC3DFC">
        <w:rPr>
          <w:color w:val="0D0D0D" w:themeColor="text1" w:themeTint="F2"/>
        </w:rPr>
        <w:t xml:space="preserve"> Itemised: data collected (incl. face + voice biometrics, transcripts, AI scores), purposes, lawful basis, recipients/sub-processors, </w:t>
      </w:r>
      <w:r w:rsidRPr="00CC3DFC">
        <w:rPr>
          <w:b/>
          <w:color w:val="0D0D0D" w:themeColor="text1" w:themeTint="F2"/>
        </w:rPr>
        <w:t>cross-border transfers</w:t>
      </w:r>
      <w:r w:rsidRPr="00CC3DFC">
        <w:rPr>
          <w:color w:val="0D0D0D" w:themeColor="text1" w:themeTint="F2"/>
        </w:rPr>
        <w:t>, retention, and all data-subject rights.</w:t>
      </w:r>
    </w:p>
    <w:p w14:paraId="39CA1A03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Data-subject-rights process &amp; endpoint</w:t>
      </w:r>
      <w:r w:rsidRPr="00CC3DFC">
        <w:rPr>
          <w:color w:val="0D0D0D" w:themeColor="text1" w:themeTint="F2"/>
        </w:rPr>
        <w:t xml:space="preserve"> — access, rectification, </w:t>
      </w:r>
      <w:r w:rsidRPr="00CC3DFC">
        <w:rPr>
          <w:b/>
          <w:color w:val="0D0D0D" w:themeColor="text1" w:themeTint="F2"/>
        </w:rPr>
        <w:t>erasure</w:t>
      </w:r>
      <w:r w:rsidRPr="00CC3DFC">
        <w:rPr>
          <w:color w:val="0D0D0D" w:themeColor="text1" w:themeTint="F2"/>
        </w:rPr>
        <w:t xml:space="preserve">, restriction, </w:t>
      </w:r>
      <w:r w:rsidRPr="00CC3DFC">
        <w:rPr>
          <w:b/>
          <w:color w:val="0D0D0D" w:themeColor="text1" w:themeTint="F2"/>
        </w:rPr>
        <w:t>portability</w:t>
      </w:r>
      <w:r w:rsidRPr="00CC3DFC">
        <w:rPr>
          <w:color w:val="0D0D0D" w:themeColor="text1" w:themeTint="F2"/>
        </w:rPr>
        <w:t xml:space="preserve">, and </w:t>
      </w:r>
      <w:r w:rsidRPr="00CC3DFC">
        <w:rPr>
          <w:b/>
          <w:color w:val="0D0D0D" w:themeColor="text1" w:themeTint="F2"/>
        </w:rPr>
        <w:t>objection</w:t>
      </w:r>
      <w:r w:rsidRPr="00CC3DFC">
        <w:rPr>
          <w:color w:val="0D0D0D" w:themeColor="text1" w:themeTint="F2"/>
        </w:rPr>
        <w:t>; with an SLA to respond within one month.</w:t>
      </w:r>
    </w:p>
    <w:p w14:paraId="1954C3BA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ePrivacy cookie banner</w:t>
      </w:r>
      <w:r w:rsidRPr="00CC3DFC">
        <w:rPr>
          <w:color w:val="0D0D0D" w:themeColor="text1" w:themeTint="F2"/>
        </w:rPr>
        <w:t xml:space="preserve"> — genuine opt-in for non-essential cookies/analytics. _(Digital Omnibus proposes single-click accept/reject + a 6-month memory — design for it, but current ePrivacy applies.)_</w:t>
      </w:r>
    </w:p>
    <w:p w14:paraId="63E579D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Pay Transparency compliance in the recruitment flow</w:t>
      </w:r>
      <w:r w:rsidRPr="00CC3DFC">
        <w:rPr>
          <w:color w:val="0D0D0D" w:themeColor="text1" w:themeTint="F2"/>
        </w:rPr>
        <w:t xml:space="preserve"> — no salary-history capture; support disclosure of pay ranges to candidates where the customer must provide them.</w:t>
      </w:r>
    </w:p>
    <w:p w14:paraId="7580A4B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Candidate-facing AI notice</w:t>
      </w:r>
      <w:r w:rsidRPr="00CC3DFC">
        <w:rPr>
          <w:color w:val="0D0D0D" w:themeColor="text1" w:themeTint="F2"/>
        </w:rPr>
        <w:t xml:space="preserve"> in the interview room (plain "an AI evaluates your interview").</w:t>
      </w:r>
    </w:p>
    <w:p w14:paraId="633CF33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Footer + in-room links</w:t>
      </w:r>
      <w:r w:rsidRPr="00CC3DFC">
        <w:rPr>
          <w:color w:val="0D0D0D" w:themeColor="text1" w:themeTint="F2"/>
        </w:rPr>
        <w:t xml:space="preserve"> to all of the above.</w:t>
      </w:r>
    </w:p>
    <w:p w14:paraId="344BC89F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9. Appointments, breach response &amp; governance</w:t>
      </w:r>
    </w:p>
    <w:p w14:paraId="5A5C395A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Appoint an EU Representative (Art 27)</w:t>
      </w:r>
      <w:r w:rsidRPr="00CC3DFC">
        <w:rPr>
          <w:color w:val="0D0D0D" w:themeColor="text1" w:themeTint="F2"/>
        </w:rPr>
        <w:t xml:space="preserve"> — required because you're a non-EU company offering services to / monitoring EU data subjects. A named entity in an EU member state.</w:t>
      </w:r>
    </w:p>
    <w:p w14:paraId="1F111760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Assess and (likely) appoint a DPO</w:t>
      </w:r>
      <w:r w:rsidRPr="00CC3DFC">
        <w:rPr>
          <w:color w:val="0D0D0D" w:themeColor="text1" w:themeTint="F2"/>
        </w:rPr>
        <w:t xml:space="preserve"> — large-scale special-category processing + systematic monitoring usually triggers it.</w:t>
      </w:r>
    </w:p>
    <w:p w14:paraId="6DBA8401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Breach response procedure</w:t>
      </w:r>
      <w:r w:rsidRPr="00CC3DFC">
        <w:rPr>
          <w:color w:val="0D0D0D" w:themeColor="text1" w:themeTint="F2"/>
        </w:rPr>
        <w:t xml:space="preserve"> — notify the supervisory authority within </w:t>
      </w:r>
      <w:r w:rsidRPr="00CC3DFC">
        <w:rPr>
          <w:b/>
          <w:color w:val="0D0D0D" w:themeColor="text1" w:themeTint="F2"/>
        </w:rPr>
        <w:t>72 hours</w:t>
      </w:r>
      <w:r w:rsidRPr="00CC3DFC">
        <w:rPr>
          <w:color w:val="0D0D0D" w:themeColor="text1" w:themeTint="F2"/>
        </w:rPr>
        <w:t xml:space="preserve"> (current law; the Omnibus proposes 96h + high-risk-only — don't adopt yet) and affected candidates without undue delay. Keep an internal breach register.</w:t>
      </w:r>
    </w:p>
    <w:p w14:paraId="27671B2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Grievance / contact point</w:t>
      </w:r>
      <w:r w:rsidRPr="00CC3DFC">
        <w:rPr>
          <w:color w:val="0D0D0D" w:themeColor="text1" w:themeTint="F2"/>
        </w:rPr>
        <w:t xml:space="preserve"> published for data-subject queries.</w:t>
      </w:r>
    </w:p>
    <w:p w14:paraId="3989FD63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10. Stand up the AI Act high-risk conformity programme</w:t>
      </w:r>
    </w:p>
    <w:p w14:paraId="7DCAA4B7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The largest workstream, but the deadline is the furthest out — </w:t>
      </w:r>
      <w:r w:rsidRPr="00CC3DFC">
        <w:rPr>
          <w:b/>
          <w:color w:val="0D0D0D" w:themeColor="text1" w:themeTint="F2"/>
        </w:rPr>
        <w:t>~2 December 2027</w:t>
      </w:r>
      <w:r w:rsidRPr="00CC3DFC">
        <w:rPr>
          <w:color w:val="0D0D0D" w:themeColor="text1" w:themeTint="F2"/>
        </w:rPr>
        <w:t xml:space="preserve"> (deferred by the Digital Omnibus from 2 Aug 2026; the deferral was Parliament-endorsed 16 Jun 2026, adoption expected ~Jul 2026). Recruitment AI </w:t>
      </w:r>
      <w:r w:rsidRPr="00CC3DFC">
        <w:rPr>
          <w:b/>
          <w:color w:val="0D0D0D" w:themeColor="text1" w:themeTint="F2"/>
        </w:rPr>
        <w:t>remains</w:t>
      </w:r>
      <w:r w:rsidRPr="00CC3DFC">
        <w:rPr>
          <w:color w:val="0D0D0D" w:themeColor="text1" w:themeTint="F2"/>
        </w:rPr>
        <w:t xml:space="preserve"> Annex III high-risk — it was </w:t>
      </w:r>
      <w:r w:rsidRPr="00CC3DFC">
        <w:rPr>
          <w:i/>
          <w:color w:val="0D0D0D" w:themeColor="text1" w:themeTint="F2"/>
        </w:rPr>
        <w:t>not</w:t>
      </w:r>
      <w:r w:rsidRPr="00CC3DFC">
        <w:rPr>
          <w:color w:val="0D0D0D" w:themeColor="text1" w:themeTint="F2"/>
        </w:rPr>
        <w:t xml:space="preserve"> removed. Build this as a system:</w:t>
      </w:r>
    </w:p>
    <w:p w14:paraId="621DF3F1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Risk-management system</w:t>
      </w:r>
      <w:r w:rsidRPr="00CC3DFC">
        <w:rPr>
          <w:color w:val="0D0D0D" w:themeColor="text1" w:themeTint="F2"/>
        </w:rPr>
        <w:t xml:space="preserve"> — continuous identification + mitigation of risks to health, safety, fundamental rights.</w:t>
      </w:r>
    </w:p>
    <w:p w14:paraId="3224614F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Data governance</w:t>
      </w:r>
      <w:r w:rsidRPr="00CC3DFC">
        <w:rPr>
          <w:color w:val="0D0D0D" w:themeColor="text1" w:themeTint="F2"/>
        </w:rPr>
        <w:t xml:space="preserve"> — training/validation data quality, representativeness, and </w:t>
      </w:r>
      <w:r w:rsidRPr="00CC3DFC">
        <w:rPr>
          <w:b/>
          <w:color w:val="0D0D0D" w:themeColor="text1" w:themeTint="F2"/>
        </w:rPr>
        <w:t>bias testing / mitigation</w:t>
      </w:r>
      <w:r w:rsidRPr="00CC3DFC">
        <w:rPr>
          <w:color w:val="0D0D0D" w:themeColor="text1" w:themeTint="F2"/>
        </w:rPr>
        <w:t xml:space="preserve"> (ties directly to the confidence-metric and scoring fairness work).</w:t>
      </w:r>
    </w:p>
    <w:p w14:paraId="38B5D7BC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Technical documentation</w:t>
      </w:r>
      <w:r w:rsidRPr="00CC3DFC">
        <w:rPr>
          <w:color w:val="0D0D0D" w:themeColor="text1" w:themeTint="F2"/>
        </w:rPr>
        <w:t xml:space="preserve"> — the Annex IV file describing the system, its design, and its testing.</w:t>
      </w:r>
    </w:p>
    <w:p w14:paraId="33221E71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Automatic logging / record-keeping</w:t>
      </w:r>
      <w:r w:rsidRPr="00CC3DFC">
        <w:rPr>
          <w:color w:val="0D0D0D" w:themeColor="text1" w:themeTint="F2"/>
        </w:rPr>
        <w:t xml:space="preserve"> of the system's operation for traceability.</w:t>
      </w:r>
    </w:p>
    <w:p w14:paraId="3EF6920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Transparency + instructions for use</w:t>
      </w:r>
      <w:r w:rsidRPr="00CC3DFC">
        <w:rPr>
          <w:color w:val="0D0D0D" w:themeColor="text1" w:themeTint="F2"/>
        </w:rPr>
        <w:t xml:space="preserve"> provided to your deployers (the recruiter customers), so they can meet </w:t>
      </w:r>
      <w:r w:rsidRPr="00CC3DFC">
        <w:rPr>
          <w:i/>
          <w:color w:val="0D0D0D" w:themeColor="text1" w:themeTint="F2"/>
        </w:rPr>
        <w:t>their</w:t>
      </w:r>
      <w:r w:rsidRPr="00CC3DFC">
        <w:rPr>
          <w:color w:val="0D0D0D" w:themeColor="text1" w:themeTint="F2"/>
        </w:rPr>
        <w:t xml:space="preserve"> duties (candidate notice, human oversight, and possibly a Fundamental Rights Impact Assessment).</w:t>
      </w:r>
    </w:p>
    <w:p w14:paraId="144D844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Human oversight designed into the product</w:t>
      </w:r>
      <w:r w:rsidRPr="00CC3DFC">
        <w:rPr>
          <w:color w:val="0D0D0D" w:themeColor="text1" w:themeTint="F2"/>
        </w:rPr>
        <w:t xml:space="preserve"> (already started in §6).</w:t>
      </w:r>
    </w:p>
    <w:p w14:paraId="7CD8F1FB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Accuracy, robustness, and cybersecurity</w:t>
      </w:r>
      <w:r w:rsidRPr="00CC3DFC">
        <w:rPr>
          <w:color w:val="0D0D0D" w:themeColor="text1" w:themeTint="F2"/>
        </w:rPr>
        <w:t xml:space="preserve"> appropriate to the risk.</w:t>
      </w:r>
    </w:p>
    <w:p w14:paraId="29C827FD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Quality-management system</w:t>
      </w:r>
      <w:r w:rsidRPr="00CC3DFC">
        <w:rPr>
          <w:color w:val="0D0D0D" w:themeColor="text1" w:themeTint="F2"/>
        </w:rPr>
        <w:t xml:space="preserve"> governing the above as an ongoing process.</w:t>
      </w:r>
    </w:p>
    <w:p w14:paraId="7EB2EDD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Conformity assessment + CE marking</w:t>
      </w:r>
      <w:r w:rsidRPr="00CC3DFC">
        <w:rPr>
          <w:color w:val="0D0D0D" w:themeColor="text1" w:themeTint="F2"/>
        </w:rPr>
        <w:t xml:space="preserve"> — the formal pre-market declaration the system conforms.</w:t>
      </w:r>
    </w:p>
    <w:p w14:paraId="315B8EFA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Registration in the EU database</w:t>
      </w:r>
      <w:r w:rsidRPr="00CC3DFC">
        <w:rPr>
          <w:color w:val="0D0D0D" w:themeColor="text1" w:themeTint="F2"/>
        </w:rPr>
        <w:t xml:space="preserve"> for high-risk AI systems before going to market.</w:t>
      </w:r>
    </w:p>
    <w:p w14:paraId="2088CB17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Post-market monitoring</w:t>
      </w:r>
      <w:r w:rsidRPr="00CC3DFC">
        <w:rPr>
          <w:color w:val="0D0D0D" w:themeColor="text1" w:themeTint="F2"/>
        </w:rPr>
        <w:t xml:space="preserve"> — ongoing performance + incident tracking after launch.</w:t>
      </w:r>
    </w:p>
    <w:p w14:paraId="3AE3E2A9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>11. UK track (only if the UK is in scope)</w:t>
      </w:r>
    </w:p>
    <w:p w14:paraId="537B34CD" w14:textId="77777777" w:rsidR="00C516AA" w:rsidRPr="00CC3DFC" w:rsidRDefault="00000000">
      <w:pPr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The UK left the EU regime; treat it as a second jurisdiction — in places </w:t>
      </w:r>
      <w:r w:rsidRPr="00CC3DFC">
        <w:rPr>
          <w:i/>
          <w:color w:val="0D0D0D" w:themeColor="text1" w:themeTint="F2"/>
        </w:rPr>
        <w:t>easier</w:t>
      </w:r>
      <w:r w:rsidRPr="00CC3DFC">
        <w:rPr>
          <w:color w:val="0D0D0D" w:themeColor="text1" w:themeTint="F2"/>
        </w:rPr>
        <w:t xml:space="preserve"> than the EU.</w:t>
      </w:r>
    </w:p>
    <w:p w14:paraId="38A57A4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UK GDPR + DPA 2018</w:t>
      </w:r>
      <w:r w:rsidRPr="00CC3DFC">
        <w:rPr>
          <w:color w:val="0D0D0D" w:themeColor="text1" w:themeTint="F2"/>
        </w:rPr>
        <w:t xml:space="preserve">, as amended by the </w:t>
      </w:r>
      <w:r w:rsidRPr="00CC3DFC">
        <w:rPr>
          <w:b/>
          <w:color w:val="0D0D0D" w:themeColor="text1" w:themeTint="F2"/>
        </w:rPr>
        <w:t>Data (Use and Access) Act 2025</w:t>
      </w:r>
      <w:r w:rsidRPr="00CC3DFC">
        <w:rPr>
          <w:color w:val="0D0D0D" w:themeColor="text1" w:themeTint="F2"/>
        </w:rPr>
        <w:t xml:space="preserve"> (in force 5 Feb 2026): automated CV screening is permitted on </w:t>
      </w:r>
      <w:r w:rsidRPr="00CC3DFC">
        <w:rPr>
          <w:b/>
          <w:color w:val="0D0D0D" w:themeColor="text1" w:themeTint="F2"/>
        </w:rPr>
        <w:t>legitimate interests + safeguards</w:t>
      </w:r>
      <w:r w:rsidRPr="00CC3DFC">
        <w:rPr>
          <w:color w:val="0D0D0D" w:themeColor="text1" w:themeTint="F2"/>
        </w:rPr>
        <w:t xml:space="preserve"> (transparency, meaningful human review, right to contest) — more permissive than EU Art 22.</w:t>
      </w:r>
    </w:p>
    <w:p w14:paraId="3F5105E1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ICO is actively enforcing</w:t>
      </w:r>
      <w:r w:rsidRPr="00CC3DFC">
        <w:rPr>
          <w:color w:val="0D0D0D" w:themeColor="text1" w:themeTint="F2"/>
        </w:rPr>
        <w:t xml:space="preserve"> on AI hiring (its 2026 review found most employers non-compliant) — so the safeguards must actually function, with documented bias monitoring.</w:t>
      </w:r>
    </w:p>
    <w:p w14:paraId="225B6DE5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 xml:space="preserve">UK is </w:t>
      </w:r>
      <w:r w:rsidRPr="00CC3DFC">
        <w:rPr>
          <w:b/>
          <w:i/>
          <w:color w:val="0D0D0D" w:themeColor="text1" w:themeTint="F2"/>
        </w:rPr>
        <w:t>not</w:t>
      </w:r>
      <w:r w:rsidRPr="00CC3DFC">
        <w:rPr>
          <w:b/>
          <w:color w:val="0D0D0D" w:themeColor="text1" w:themeTint="F2"/>
        </w:rPr>
        <w:t xml:space="preserve"> under the EU AI Act</w:t>
      </w:r>
      <w:r w:rsidRPr="00CC3DFC">
        <w:rPr>
          <w:color w:val="0D0D0D" w:themeColor="text1" w:themeTint="F2"/>
        </w:rPr>
        <w:t xml:space="preserve"> — it's principles-based + ICO guidance, no separate AI statute yet.</w:t>
      </w:r>
    </w:p>
    <w:p w14:paraId="2893A5E9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Transfers to the US</w:t>
      </w:r>
      <w:r w:rsidRPr="00CC3DFC">
        <w:rPr>
          <w:color w:val="0D0D0D" w:themeColor="text1" w:themeTint="F2"/>
        </w:rPr>
        <w:t xml:space="preserve"> use the </w:t>
      </w:r>
      <w:r w:rsidRPr="00CC3DFC">
        <w:rPr>
          <w:b/>
          <w:color w:val="0D0D0D" w:themeColor="text1" w:themeTint="F2"/>
        </w:rPr>
        <w:t>UK-US Data Bridge</w:t>
      </w:r>
      <w:r w:rsidRPr="00CC3DFC">
        <w:rPr>
          <w:color w:val="0D0D0D" w:themeColor="text1" w:themeTint="F2"/>
        </w:rPr>
        <w:t xml:space="preserve">; appoint a </w:t>
      </w:r>
      <w:r w:rsidRPr="00CC3DFC">
        <w:rPr>
          <w:b/>
          <w:color w:val="0D0D0D" w:themeColor="text1" w:themeTint="F2"/>
        </w:rPr>
        <w:t>UK representative</w:t>
      </w:r>
      <w:r w:rsidRPr="00CC3DFC">
        <w:rPr>
          <w:color w:val="0D0D0D" w:themeColor="text1" w:themeTint="F2"/>
        </w:rPr>
        <w:t xml:space="preserve"> if required.</w:t>
      </w:r>
    </w:p>
    <w:p w14:paraId="4350AC91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12. Keep watching (this won't sit still)</w:t>
      </w:r>
    </w:p>
    <w:p w14:paraId="08F9171D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Digital Omnibus</w:t>
      </w:r>
      <w:r w:rsidRPr="00CC3DFC">
        <w:rPr>
          <w:color w:val="0D0D0D" w:themeColor="text1" w:themeTint="F2"/>
        </w:rPr>
        <w:t xml:space="preserve"> (GDPR + AI Act amendments) — track to final text; it may narrow "personal data", change cookies, move breach reporting to 96h/high-risk-only, and relax automated decisions. Re-baseline these docs when it's enacted.</w:t>
      </w:r>
    </w:p>
    <w:p w14:paraId="56F85E3E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AI Act high-risk guidance + harmonised standards</w:t>
      </w:r>
      <w:r w:rsidRPr="00CC3DFC">
        <w:rPr>
          <w:color w:val="0D0D0D" w:themeColor="text1" w:themeTint="F2"/>
        </w:rPr>
        <w:t xml:space="preserve"> — the practical conformity detail is still being published; revisit §10 as standards land.</w:t>
      </w:r>
    </w:p>
    <w:p w14:paraId="11445EE5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Pay Transparency transposition</w:t>
      </w:r>
      <w:r w:rsidRPr="00CC3DFC">
        <w:rPr>
          <w:color w:val="0D0D0D" w:themeColor="text1" w:themeTint="F2"/>
        </w:rPr>
        <w:t xml:space="preserve"> — member states are transposing unevenly through 2026; check each launch country.</w:t>
      </w:r>
    </w:p>
    <w:p w14:paraId="06F94007" w14:textId="77777777" w:rsidR="00C516AA" w:rsidRPr="00CC3DFC" w:rsidRDefault="00000000">
      <w:pPr>
        <w:ind w:left="360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☐  </w:t>
      </w:r>
      <w:r w:rsidRPr="00CC3DFC">
        <w:rPr>
          <w:b/>
          <w:color w:val="0D0D0D" w:themeColor="text1" w:themeTint="F2"/>
        </w:rPr>
        <w:t>Periodic bias review</w:t>
      </w:r>
      <w:r w:rsidRPr="00CC3DFC">
        <w:rPr>
          <w:color w:val="0D0D0D" w:themeColor="text1" w:themeTint="F2"/>
        </w:rPr>
        <w:t xml:space="preserve"> of the scoring model (quarterly is a sensible cadence and supports both the AI Act and UK ICO expectations).</w:t>
      </w:r>
    </w:p>
    <w:p w14:paraId="2319EEF0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Penalty reference (why this matters)</w:t>
      </w:r>
    </w:p>
    <w:tbl>
      <w:tblPr>
        <w:tblStyle w:val="LightGrid"/>
        <w:tblW w:w="0" w:type="auto"/>
        <w:tblLook w:val="0600" w:firstRow="0" w:lastRow="0" w:firstColumn="0" w:lastColumn="0" w:noHBand="1" w:noVBand="1"/>
      </w:tblPr>
      <w:tblGrid>
        <w:gridCol w:w="4320"/>
        <w:gridCol w:w="4320"/>
      </w:tblGrid>
      <w:tr w:rsidR="00C516AA" w:rsidRPr="00CC3DFC" w14:paraId="25DAB578" w14:textId="77777777" w:rsidTr="00CC3DFC">
        <w:tc>
          <w:tcPr>
            <w:tcW w:w="4320" w:type="dxa"/>
          </w:tcPr>
          <w:p w14:paraId="34F02EFA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Breach</w:t>
            </w:r>
          </w:p>
        </w:tc>
        <w:tc>
          <w:tcPr>
            <w:tcW w:w="4320" w:type="dxa"/>
          </w:tcPr>
          <w:p w14:paraId="7D46F2BA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Ceiling</w:t>
            </w:r>
          </w:p>
        </w:tc>
      </w:tr>
      <w:tr w:rsidR="00C516AA" w:rsidRPr="00CC3DFC" w14:paraId="197EF585" w14:textId="77777777" w:rsidTr="00CC3DFC">
        <w:tc>
          <w:tcPr>
            <w:tcW w:w="4320" w:type="dxa"/>
          </w:tcPr>
          <w:p w14:paraId="527085A6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AI Act — prohibited practice (e.g. workplace emotion recognition)</w:t>
            </w:r>
          </w:p>
        </w:tc>
        <w:tc>
          <w:tcPr>
            <w:tcW w:w="4320" w:type="dxa"/>
          </w:tcPr>
          <w:p w14:paraId="41C40EF7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€35M or 7%</w:t>
            </w:r>
            <w:r w:rsidRPr="00CC3DFC">
              <w:rPr>
                <w:color w:val="0D0D0D" w:themeColor="text1" w:themeTint="F2"/>
              </w:rPr>
              <w:t xml:space="preserve"> of global annual turnover</w:t>
            </w:r>
          </w:p>
        </w:tc>
      </w:tr>
      <w:tr w:rsidR="00C516AA" w:rsidRPr="00CC3DFC" w14:paraId="730832B9" w14:textId="77777777" w:rsidTr="00CC3DFC">
        <w:tc>
          <w:tcPr>
            <w:tcW w:w="4320" w:type="dxa"/>
          </w:tcPr>
          <w:p w14:paraId="369DB659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AI Act — high-risk non-compliance</w:t>
            </w:r>
          </w:p>
        </w:tc>
        <w:tc>
          <w:tcPr>
            <w:tcW w:w="4320" w:type="dxa"/>
          </w:tcPr>
          <w:p w14:paraId="5B6955AA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€15M or 3%</w:t>
            </w:r>
          </w:p>
        </w:tc>
      </w:tr>
      <w:tr w:rsidR="00C516AA" w:rsidRPr="00CC3DFC" w14:paraId="3217D564" w14:textId="77777777" w:rsidTr="00CC3DFC">
        <w:tc>
          <w:tcPr>
            <w:tcW w:w="4320" w:type="dxa"/>
          </w:tcPr>
          <w:p w14:paraId="1C8EC67D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GDPR — core violations (lawful basis, transfers, special-category)</w:t>
            </w:r>
          </w:p>
        </w:tc>
        <w:tc>
          <w:tcPr>
            <w:tcW w:w="4320" w:type="dxa"/>
          </w:tcPr>
          <w:p w14:paraId="2C6176D0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€20M or 4%</w:t>
            </w:r>
          </w:p>
        </w:tc>
      </w:tr>
      <w:tr w:rsidR="00C516AA" w:rsidRPr="00CC3DFC" w14:paraId="53738EB2" w14:textId="77777777" w:rsidTr="00CC3DFC">
        <w:tc>
          <w:tcPr>
            <w:tcW w:w="4320" w:type="dxa"/>
          </w:tcPr>
          <w:p w14:paraId="57623046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color w:val="0D0D0D" w:themeColor="text1" w:themeTint="F2"/>
              </w:rPr>
              <w:t>GDPR — lesser (records, processor duties)</w:t>
            </w:r>
          </w:p>
        </w:tc>
        <w:tc>
          <w:tcPr>
            <w:tcW w:w="4320" w:type="dxa"/>
          </w:tcPr>
          <w:p w14:paraId="6CE2CA30" w14:textId="77777777" w:rsidR="00C516AA" w:rsidRPr="00CC3DFC" w:rsidRDefault="00000000">
            <w:pPr>
              <w:rPr>
                <w:color w:val="0D0D0D" w:themeColor="text1" w:themeTint="F2"/>
              </w:rPr>
            </w:pPr>
            <w:r w:rsidRPr="00CC3DFC">
              <w:rPr>
                <w:b/>
                <w:color w:val="0D0D0D" w:themeColor="text1" w:themeTint="F2"/>
              </w:rPr>
              <w:t>€10M or 2%</w:t>
            </w:r>
          </w:p>
        </w:tc>
      </w:tr>
    </w:tbl>
    <w:p w14:paraId="133614DD" w14:textId="77777777" w:rsidR="00C516AA" w:rsidRPr="00CC3DFC" w:rsidRDefault="00000000">
      <w:pPr>
        <w:pStyle w:val="Heading2"/>
        <w:rPr>
          <w:color w:val="0D0D0D" w:themeColor="text1" w:themeTint="F2"/>
        </w:rPr>
      </w:pPr>
      <w:r w:rsidRPr="00CC3DFC">
        <w:rPr>
          <w:color w:val="0D0D0D" w:themeColor="text1" w:themeTint="F2"/>
        </w:rPr>
        <w:t>Part 3 sources (verified 2026-06-26)</w:t>
      </w:r>
    </w:p>
    <w:p w14:paraId="1CCB1FBB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AI Act: recruitment retained as high-risk, deadline 2 Dec 2027 — </w:t>
      </w:r>
      <w:hyperlink r:id="rId19">
        <w:r w:rsidRPr="00CC3DFC">
          <w:rPr>
            <w:color w:val="0D0D0D" w:themeColor="text1" w:themeTint="F2"/>
            <w:u w:val="single"/>
          </w:rPr>
          <w:t>Gibson Dunn</w:t>
        </w:r>
      </w:hyperlink>
      <w:r w:rsidRPr="00CC3DFC">
        <w:rPr>
          <w:color w:val="0D0D0D" w:themeColor="text1" w:themeTint="F2"/>
        </w:rPr>
        <w:t xml:space="preserve">, </w:t>
      </w:r>
      <w:hyperlink r:id="rId20">
        <w:r w:rsidRPr="00CC3DFC">
          <w:rPr>
            <w:color w:val="0D0D0D" w:themeColor="text1" w:themeTint="F2"/>
            <w:u w:val="single"/>
          </w:rPr>
          <w:t>DLA Piper</w:t>
        </w:r>
      </w:hyperlink>
    </w:p>
    <w:p w14:paraId="378CFA50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Emotion-recognition-in-workplace prohibition (Art 5(1)(f)) — </w:t>
      </w:r>
      <w:hyperlink r:id="rId21">
        <w:r w:rsidRPr="00CC3DFC">
          <w:rPr>
            <w:color w:val="0D0D0D" w:themeColor="text1" w:themeTint="F2"/>
            <w:u w:val="single"/>
          </w:rPr>
          <w:t>FPF</w:t>
        </w:r>
      </w:hyperlink>
      <w:r w:rsidRPr="00CC3DFC">
        <w:rPr>
          <w:color w:val="0D0D0D" w:themeColor="text1" w:themeTint="F2"/>
        </w:rPr>
        <w:t xml:space="preserve">, </w:t>
      </w:r>
      <w:hyperlink r:id="rId22">
        <w:r w:rsidRPr="00CC3DFC">
          <w:rPr>
            <w:color w:val="0D0D0D" w:themeColor="text1" w:themeTint="F2"/>
            <w:u w:val="single"/>
          </w:rPr>
          <w:t>Wolters Kluwer</w:t>
        </w:r>
      </w:hyperlink>
    </w:p>
    <w:p w14:paraId="366B9D70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GDPR biometric proctoring / facial-recognition enforcement + DPIA — </w:t>
      </w:r>
      <w:hyperlink r:id="rId23">
        <w:r w:rsidRPr="00CC3DFC">
          <w:rPr>
            <w:color w:val="0D0D0D" w:themeColor="text1" w:themeTint="F2"/>
            <w:u w:val="single"/>
          </w:rPr>
          <w:t>VinciWorks</w:t>
        </w:r>
      </w:hyperlink>
      <w:r w:rsidRPr="00CC3DFC">
        <w:rPr>
          <w:color w:val="0D0D0D" w:themeColor="text1" w:themeTint="F2"/>
        </w:rPr>
        <w:t xml:space="preserve">, </w:t>
      </w:r>
      <w:hyperlink r:id="rId24">
        <w:r w:rsidRPr="00CC3DFC">
          <w:rPr>
            <w:color w:val="0D0D0D" w:themeColor="text1" w:themeTint="F2"/>
            <w:u w:val="single"/>
          </w:rPr>
          <w:t>EDPB</w:t>
        </w:r>
      </w:hyperlink>
    </w:p>
    <w:p w14:paraId="5983AB60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Digital Omnibus GDPR changes (personal data / cookies / 96h breach / ADM) — </w:t>
      </w:r>
      <w:hyperlink r:id="rId25">
        <w:r w:rsidRPr="00CC3DFC">
          <w:rPr>
            <w:color w:val="0D0D0D" w:themeColor="text1" w:themeTint="F2"/>
            <w:u w:val="single"/>
          </w:rPr>
          <w:t>White &amp; Case</w:t>
        </w:r>
      </w:hyperlink>
      <w:r w:rsidRPr="00CC3DFC">
        <w:rPr>
          <w:color w:val="0D0D0D" w:themeColor="text1" w:themeTint="F2"/>
        </w:rPr>
        <w:t xml:space="preserve">, </w:t>
      </w:r>
      <w:hyperlink r:id="rId26">
        <w:r w:rsidRPr="00CC3DFC">
          <w:rPr>
            <w:color w:val="0D0D0D" w:themeColor="text1" w:themeTint="F2"/>
            <w:u w:val="single"/>
          </w:rPr>
          <w:t>Stephenson Harwood</w:t>
        </w:r>
      </w:hyperlink>
    </w:p>
    <w:p w14:paraId="2B526BFA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lastRenderedPageBreak/>
        <w:t xml:space="preserve">EU-US DPF valid 2026 (Latombe); India no adequacy until ~2028–29 — </w:t>
      </w:r>
      <w:hyperlink r:id="rId27">
        <w:r w:rsidRPr="00CC3DFC">
          <w:rPr>
            <w:color w:val="0D0D0D" w:themeColor="text1" w:themeTint="F2"/>
            <w:u w:val="single"/>
          </w:rPr>
          <w:t>Epstein Becker Green</w:t>
        </w:r>
      </w:hyperlink>
      <w:r w:rsidRPr="00CC3DFC">
        <w:rPr>
          <w:color w:val="0D0D0D" w:themeColor="text1" w:themeTint="F2"/>
        </w:rPr>
        <w:t xml:space="preserve">, </w:t>
      </w:r>
      <w:hyperlink r:id="rId28">
        <w:r w:rsidRPr="00CC3DFC">
          <w:rPr>
            <w:color w:val="0D0D0D" w:themeColor="text1" w:themeTint="F2"/>
            <w:u w:val="single"/>
          </w:rPr>
          <w:t>DPDPA.com</w:t>
        </w:r>
      </w:hyperlink>
    </w:p>
    <w:p w14:paraId="14051117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Pay Transparency Directive (salary-history ban, 7 Jun 2026) — </w:t>
      </w:r>
      <w:hyperlink r:id="rId29">
        <w:r w:rsidRPr="00CC3DFC">
          <w:rPr>
            <w:color w:val="0D0D0D" w:themeColor="text1" w:themeTint="F2"/>
            <w:u w:val="single"/>
          </w:rPr>
          <w:t>Boundless</w:t>
        </w:r>
      </w:hyperlink>
      <w:r w:rsidRPr="00CC3DFC">
        <w:rPr>
          <w:color w:val="0D0D0D" w:themeColor="text1" w:themeTint="F2"/>
        </w:rPr>
        <w:t xml:space="preserve">, </w:t>
      </w:r>
      <w:hyperlink r:id="rId30">
        <w:r w:rsidRPr="00CC3DFC">
          <w:rPr>
            <w:color w:val="0D0D0D" w:themeColor="text1" w:themeTint="F2"/>
            <w:u w:val="single"/>
          </w:rPr>
          <w:t>Ogletree</w:t>
        </w:r>
      </w:hyperlink>
    </w:p>
    <w:p w14:paraId="216D6CD5" w14:textId="77777777" w:rsidR="00C516AA" w:rsidRPr="00CC3DFC" w:rsidRDefault="00000000">
      <w:pPr>
        <w:pStyle w:val="ListBullet"/>
        <w:rPr>
          <w:color w:val="0D0D0D" w:themeColor="text1" w:themeTint="F2"/>
        </w:rPr>
      </w:pPr>
      <w:r w:rsidRPr="00CC3DFC">
        <w:rPr>
          <w:color w:val="0D0D0D" w:themeColor="text1" w:themeTint="F2"/>
        </w:rPr>
        <w:t xml:space="preserve">UK DUAA 2025 ADM in recruitment + ICO enforcement — </w:t>
      </w:r>
      <w:hyperlink r:id="rId31">
        <w:r w:rsidRPr="00CC3DFC">
          <w:rPr>
            <w:color w:val="0D0D0D" w:themeColor="text1" w:themeTint="F2"/>
            <w:u w:val="single"/>
          </w:rPr>
          <w:t>ICO</w:t>
        </w:r>
      </w:hyperlink>
      <w:r w:rsidRPr="00CC3DFC">
        <w:rPr>
          <w:color w:val="0D0D0D" w:themeColor="text1" w:themeTint="F2"/>
        </w:rPr>
        <w:t xml:space="preserve">, </w:t>
      </w:r>
      <w:hyperlink r:id="rId32">
        <w:r w:rsidRPr="00CC3DFC">
          <w:rPr>
            <w:color w:val="0D0D0D" w:themeColor="text1" w:themeTint="F2"/>
            <w:u w:val="single"/>
          </w:rPr>
          <w:t>Ropes &amp; Gray</w:t>
        </w:r>
      </w:hyperlink>
    </w:p>
    <w:sectPr w:rsidR="00C516AA" w:rsidRPr="00CC3DFC" w:rsidSect="00CC3DF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942725">
    <w:abstractNumId w:val="8"/>
  </w:num>
  <w:num w:numId="2" w16cid:durableId="1305742695">
    <w:abstractNumId w:val="6"/>
  </w:num>
  <w:num w:numId="3" w16cid:durableId="2092657906">
    <w:abstractNumId w:val="5"/>
  </w:num>
  <w:num w:numId="4" w16cid:durableId="1554999429">
    <w:abstractNumId w:val="4"/>
  </w:num>
  <w:num w:numId="5" w16cid:durableId="774785520">
    <w:abstractNumId w:val="7"/>
  </w:num>
  <w:num w:numId="6" w16cid:durableId="2117285018">
    <w:abstractNumId w:val="3"/>
  </w:num>
  <w:num w:numId="7" w16cid:durableId="1609503535">
    <w:abstractNumId w:val="2"/>
  </w:num>
  <w:num w:numId="8" w16cid:durableId="1159732974">
    <w:abstractNumId w:val="1"/>
  </w:num>
  <w:num w:numId="9" w16cid:durableId="215703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16AA"/>
    <w:rsid w:val="00C57DE3"/>
    <w:rsid w:val="00CB0664"/>
    <w:rsid w:val="00CC3D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C8EA3"/>
  <w14:defaultImageDpi w14:val="300"/>
  <w15:docId w15:val="{F416502E-92DD-4F56-97D0-BA0AAB17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C3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vinciworks.com/blog/is-your-use-of-facial-recognition-breaking-the-law-lessons-from-irelands-e550k-fine/" TargetMode="External"/><Relationship Id="rId18" Type="http://schemas.openxmlformats.org/officeDocument/2006/relationships/hyperlink" Target="./ROADMAP.md" TargetMode="External"/><Relationship Id="rId26" Type="http://schemas.openxmlformats.org/officeDocument/2006/relationships/hyperlink" Target="https://www.stephensonharwood.com/media/4oajo5bu/styled-digital-omnibus-article-nov-2025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fpf.org/blog/red-lines-under-eu-ai-act-unpacking-the-prohibition-of-emotion-recognition-in-the-workplace-and-education-institutions/" TargetMode="External"/><Relationship Id="rId34" Type="http://schemas.openxmlformats.org/officeDocument/2006/relationships/theme" Target="theme/theme1.xml"/><Relationship Id="rId7" Type="http://schemas.openxmlformats.org/officeDocument/2006/relationships/hyperlink" Target="./ROADMAP.md" TargetMode="External"/><Relationship Id="rId12" Type="http://schemas.openxmlformats.org/officeDocument/2006/relationships/hyperlink" Target="https://legalblogs.wolterskluwer.com/global-workplace-law-and-policy/the-prohibition-of-ai-emotion-recognition-technologies-in-the-workplace-under-the-ai-act/" TargetMode="External"/><Relationship Id="rId17" Type="http://schemas.openxmlformats.org/officeDocument/2006/relationships/hyperlink" Target="https://www.dpdpa.com/blogs/india_eu_data_adequacy_dpdpa_gdpr.html" TargetMode="External"/><Relationship Id="rId25" Type="http://schemas.openxmlformats.org/officeDocument/2006/relationships/hyperlink" Target="https://www.whitecase.com/insight-alert/gdpr-under-revision-key-takeaways-from-digital-omnibus-regulation-proposal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ucrim.eu/news/general-court-confirms-adequacy-of-us-data-protection/" TargetMode="External"/><Relationship Id="rId20" Type="http://schemas.openxmlformats.org/officeDocument/2006/relationships/hyperlink" Target="https://knowledge.dlapiper.com/dlapiperknowledge/globalemploymentlatestdevelopments/2026/The-Digital-AI-Omnibus-Proposed-deferral-of-high-risk-AI-obligations-under-the-AI-Act" TargetMode="External"/><Relationship Id="rId29" Type="http://schemas.openxmlformats.org/officeDocument/2006/relationships/hyperlink" Target="https://boundlesshq.com/blog/the-eu-pay-transparency-directive-a-complete-guide-for-employer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./ROADMAP.md" TargetMode="External"/><Relationship Id="rId11" Type="http://schemas.openxmlformats.org/officeDocument/2006/relationships/hyperlink" Target="https://fpf.org/blog/red-lines-under-eu-ai-act-unpacking-the-prohibition-of-emotion-recognition-in-the-workplace-and-education-institutions/" TargetMode="External"/><Relationship Id="rId24" Type="http://schemas.openxmlformats.org/officeDocument/2006/relationships/hyperlink" Target="https://www.edpb.europa.eu/news/news/2022/edpb-adopts-guidelines-calculation-fines-guidelines-use-facial-recognition_en" TargetMode="External"/><Relationship Id="rId32" Type="http://schemas.openxmlformats.org/officeDocument/2006/relationships/hyperlink" Target="https://www.ropesgray.com/en/insights/viewpoints/102mpug/helping-hand-or-complete-control-ai-in-recruitment-in-the-eu-and-u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orkforcebulletin.com/adequacy-of-the-eu-u-s-data-privacy-framework-survives-challenge" TargetMode="External"/><Relationship Id="rId23" Type="http://schemas.openxmlformats.org/officeDocument/2006/relationships/hyperlink" Target="https://vinciworks.com/blog/is-your-use-of-facial-recognition-breaking-the-law-lessons-from-irelands-e550k-fine/" TargetMode="External"/><Relationship Id="rId28" Type="http://schemas.openxmlformats.org/officeDocument/2006/relationships/hyperlink" Target="https://www.dpdpa.com/blogs/india_eu_data_adequacy_dpdpa_gdpr.html" TargetMode="External"/><Relationship Id="rId10" Type="http://schemas.openxmlformats.org/officeDocument/2006/relationships/hyperlink" Target="https://artificialintelligenceact.eu/what-the-act-means-for-staffing-businesses/" TargetMode="External"/><Relationship Id="rId19" Type="http://schemas.openxmlformats.org/officeDocument/2006/relationships/hyperlink" Target="https://www.gibsondunn.com/eu-ai-act-omnibus-agreement-postponed-high-risk-deadlines-and-other-key-changes/" TargetMode="External"/><Relationship Id="rId31" Type="http://schemas.openxmlformats.org/officeDocument/2006/relationships/hyperlink" Target="https://ico.org.uk/about-the-ico/media-centre/news-and-blogs/2026/03/automated-decisions-can-streamline-the-hiring-process-with-the-right-safeguards-in-pl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owell.com/en/insights/client-alerts/artificial-intelligence-and-human-resources-in-the-eu-a-2026-legal-overview" TargetMode="External"/><Relationship Id="rId14" Type="http://schemas.openxmlformats.org/officeDocument/2006/relationships/hyperlink" Target="https://www.edpb.europa.eu/news/news/2022/edpb-adopts-guidelines-calculation-fines-guidelines-use-facial-recognition_en" TargetMode="External"/><Relationship Id="rId22" Type="http://schemas.openxmlformats.org/officeDocument/2006/relationships/hyperlink" Target="https://legalblogs.wolterskluwer.com/global-workplace-law-and-policy/the-prohibition-of-ai-emotion-recognition-technologies-in-the-workplace-under-the-ai-act/" TargetMode="External"/><Relationship Id="rId27" Type="http://schemas.openxmlformats.org/officeDocument/2006/relationships/hyperlink" Target="https://www.workforcebulletin.com/adequacy-of-the-eu-u-s-data-privacy-framework-survives-challenge" TargetMode="External"/><Relationship Id="rId30" Type="http://schemas.openxmlformats.org/officeDocument/2006/relationships/hyperlink" Target="https://ogletree.com/insights-resources/blog-posts/eu-pay-transparency-directive-updates-on-implementation-across-member-states/" TargetMode="External"/><Relationship Id="rId8" Type="http://schemas.openxmlformats.org/officeDocument/2006/relationships/hyperlink" Target="https://knowledge.dlapiper.com/dlapiperknowledge/globalemploymentlatestdevelopments/2026/The-Digital-AI-Omnibus-Proposed-deferral-of-high-risk-AI-obligations-under-the-AI-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5063</Words>
  <Characters>28863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Jain</cp:lastModifiedBy>
  <cp:revision>2</cp:revision>
  <dcterms:created xsi:type="dcterms:W3CDTF">2013-12-23T23:15:00Z</dcterms:created>
  <dcterms:modified xsi:type="dcterms:W3CDTF">2026-06-27T14:18:00Z</dcterms:modified>
  <cp:category/>
</cp:coreProperties>
</file>