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C00000"/>
          <w:sz w:val="24"/>
        </w:rPr>
        <w:t>⚠️  TEMPLATE — NOT LEGAL ADVICE — NOT YET PUBLISHABLE</w:t>
      </w:r>
    </w:p>
    <w:p>
      <w:r>
        <w:rPr>
          <w:i/>
          <w:color w:val="803000"/>
          <w:sz w:val="18"/>
        </w:rPr>
        <w:t>1. This is an AI-drafted template, NOT legal advice. An EU/India-qualified data-protection</w:t>
      </w:r>
    </w:p>
    <w:p>
      <w:r>
        <w:rPr>
          <w:i/>
          <w:color w:val="803000"/>
          <w:sz w:val="18"/>
        </w:rPr>
        <w:t>lawyer MUST review and sign it off before publication.</w:t>
      </w:r>
    </w:p>
    <w:p>
      <w:r>
        <w:rPr>
          <w:i/>
          <w:color w:val="803000"/>
          <w:sz w:val="18"/>
        </w:rPr>
        <w:t>2. Fill EVERY [BRACKETED] placeholder. A privacy policy must be TRUE on the day it is published.</w:t>
      </w:r>
    </w:p>
    <w:p>
      <w:r>
        <w:rPr>
          <w:i/>
          <w:color w:val="803000"/>
          <w:sz w:val="18"/>
        </w:rPr>
        <w:t>3. The "Who we share data with" table MUST match your ACTUAL sub-processors at publish time.</w:t>
      </w:r>
    </w:p>
    <w:p>
      <w:r>
        <w:rPr>
          <w:i/>
          <w:color w:val="803000"/>
          <w:sz w:val="18"/>
        </w:rPr>
        <w:t>Per the team (2026-06-27), DeepSeek (China) has been removed and all AI providers are now</w:t>
      </w:r>
    </w:p>
    <w:p>
      <w:r>
        <w:rPr>
          <w:i/>
          <w:color w:val="803000"/>
          <w:sz w:val="18"/>
        </w:rPr>
        <w:t>US/EU-based. ⚠️ This was changed in the LEGAL DOCUMENTS ONLY — before relying on the "no China"</w:t>
      </w:r>
    </w:p>
    <w:p>
      <w:r>
        <w:rPr>
          <w:i/>
          <w:color w:val="803000"/>
          <w:sz w:val="18"/>
        </w:rPr>
        <w:t>statements, VERIFY no deployed code path can still call DeepSeek, and NAME the actual AI</w:t>
      </w:r>
    </w:p>
    <w:p>
      <w:r>
        <w:rPr>
          <w:i/>
          <w:color w:val="803000"/>
          <w:sz w:val="18"/>
        </w:rPr>
        <w:t>evaluation provider in §8.2 (do not leave a placeholder at publish time).</w:t>
      </w:r>
    </w:p>
    <w:p>
      <w:r>
        <w:rPr>
          <w:i/>
          <w:color w:val="803000"/>
          <w:sz w:val="18"/>
        </w:rPr>
        <w:t>4. Several statements (e.g. "a human reviews AI scores", "we have signed SCCs/DPAs") are</w:t>
      </w:r>
    </w:p>
    <w:p>
      <w:r>
        <w:rPr>
          <w:i/>
          <w:color w:val="803000"/>
          <w:sz w:val="18"/>
        </w:rPr>
        <w:t>REPRESENTATIONS you must make operationally TRUE before relying on them.</w:t>
      </w:r>
    </w:p>
    <w:p>
      <w:r>
        <w:rPr>
          <w:i/>
          <w:color w:val="803000"/>
          <w:sz w:val="18"/>
        </w:rPr>
        <w:t>5. GDPR applies only if you target/monitor people in the EU/EEA/UK. If you do, you likely also</w:t>
      </w:r>
    </w:p>
    <w:p>
      <w:r>
        <w:rPr>
          <w:i/>
          <w:color w:val="803000"/>
          <w:sz w:val="18"/>
        </w:rPr>
        <w:t>need an Art. 27 EU representative (and a UK representative) — see §14.</w:t>
      </w:r>
    </w:p>
    <w:p>
      <w:pPr>
        <w:pStyle w:val="Title"/>
      </w:pPr>
      <w:r>
        <w:t>IntervieHire — Privacy Policy</w:t>
      </w:r>
    </w:p>
    <w:p>
      <w:r>
        <w:rPr>
          <w:b/>
        </w:rPr>
        <w:t>Effective date:</w:t>
      </w:r>
      <w:r>
        <w:t xml:space="preserve"> [DATE] </w:t>
      </w:r>
      <w:r>
        <w:rPr>
          <w:b/>
        </w:rPr>
        <w:t>Last updated:</w:t>
      </w:r>
      <w:r>
        <w:t xml:space="preserve"> [DATE] </w:t>
      </w:r>
      <w:r>
        <w:rPr>
          <w:b/>
        </w:rPr>
        <w:t>Policy version:</w:t>
      </w:r>
      <w:r>
        <w:t xml:space="preserve"> 1.0</w:t>
      </w:r>
    </w:p>
    <w:p>
      <w:r>
        <w:t xml:space="preserve">This Privacy Policy explains how </w:t>
      </w:r>
      <w:r>
        <w:rPr>
          <w:b/>
        </w:rPr>
        <w:t>[LEGAL ENTITY NAME]</w:t>
      </w:r>
      <w:r>
        <w:t xml:space="preserve"> ("</w:t>
      </w:r>
      <w:r>
        <w:rPr>
          <w:b/>
        </w:rPr>
        <w:t>IntervieHire</w:t>
      </w:r>
      <w:r>
        <w:t>", "</w:t>
      </w:r>
      <w:r>
        <w:rPr>
          <w:b/>
        </w:rPr>
        <w:t>we</w:t>
      </w:r>
      <w:r>
        <w:t>", "</w:t>
      </w:r>
      <w:r>
        <w:rPr>
          <w:b/>
        </w:rPr>
        <w:t>us</w:t>
      </w:r>
      <w:r>
        <w:t>", "</w:t>
      </w:r>
      <w:r>
        <w:rPr>
          <w:b/>
        </w:rPr>
        <w:t>our</w:t>
      </w:r>
      <w:r>
        <w:t xml:space="preserve">") collects, uses, shares, and protects personal data when you use the IntervieHire platform at </w:t>
      </w:r>
      <w:r>
        <w:rPr>
          <w:b/>
        </w:rPr>
        <w:t>[DOMAIN(S)]</w:t>
      </w:r>
      <w:r>
        <w:t xml:space="preserve"> and related services (the "</w:t>
      </w:r>
      <w:r>
        <w:rPr>
          <w:b/>
        </w:rPr>
        <w:t>Services</w:t>
      </w:r>
      <w:r>
        <w:t>") — including our recruiter dashboard, our AI-driven interview experience (text, voice, and AI-avatar), candidate scoring and reporting, and candidate sourcing features.</w:t>
      </w:r>
    </w:p>
    <w:p>
      <w:r>
        <w:t>It is written to comply with both:</w:t>
      </w:r>
    </w:p>
    <w:p>
      <w:pPr>
        <w:pStyle w:val="ListBullet"/>
      </w:pPr>
      <w:r>
        <w:t xml:space="preserve">the </w:t>
      </w:r>
      <w:r>
        <w:rPr>
          <w:b/>
        </w:rPr>
        <w:t>EU/EEA General Data Protection Regulation (GDPR)</w:t>
      </w:r>
      <w:r>
        <w:t xml:space="preserve"> (and the </w:t>
      </w:r>
      <w:r>
        <w:rPr>
          <w:b/>
        </w:rPr>
        <w:t>UK GDPR</w:t>
      </w:r>
      <w:r>
        <w:t>), and</w:t>
      </w:r>
    </w:p>
    <w:p>
      <w:pPr>
        <w:pStyle w:val="ListBullet"/>
      </w:pPr>
      <w:r>
        <w:t xml:space="preserve">India's </w:t>
      </w:r>
      <w:r>
        <w:rPr>
          <w:b/>
        </w:rPr>
        <w:t>Digital Personal Data Protection Act, 2023 (DPDP Act)</w:t>
      </w:r>
      <w:r>
        <w:t xml:space="preserve"> and the </w:t>
      </w:r>
      <w:r>
        <w:rPr>
          <w:b/>
        </w:rPr>
        <w:t>DPDP Rules, 2025</w:t>
      </w:r>
      <w:r>
        <w:t>.</w:t>
      </w:r>
    </w:p>
    <w:p>
      <w:r>
        <w:t xml:space="preserve">Where the two regimes use different words for the same idea, we treat them as equivalent: </w:t>
      </w:r>
      <w:r>
        <w:rPr>
          <w:i/>
        </w:rPr>
        <w:t>Controller</w:t>
      </w:r>
      <w:r>
        <w:t xml:space="preserve"> (GDPR) ≈ </w:t>
      </w:r>
      <w:r>
        <w:rPr>
          <w:i/>
        </w:rPr>
        <w:t>Data Fiduciary</w:t>
      </w:r>
      <w:r>
        <w:t xml:space="preserve"> (DPDP); </w:t>
      </w:r>
      <w:r>
        <w:rPr>
          <w:i/>
        </w:rPr>
        <w:t>Processor</w:t>
      </w:r>
      <w:r>
        <w:t xml:space="preserve"> ≈ </w:t>
      </w:r>
      <w:r>
        <w:rPr>
          <w:i/>
        </w:rPr>
        <w:t>Data Processor</w:t>
      </w:r>
      <w:r>
        <w:t xml:space="preserve">; </w:t>
      </w:r>
      <w:r>
        <w:rPr>
          <w:i/>
        </w:rPr>
        <w:t>Data Subject</w:t>
      </w:r>
      <w:r>
        <w:t xml:space="preserve"> ≈ </w:t>
      </w:r>
      <w:r>
        <w:rPr>
          <w:i/>
        </w:rPr>
        <w:t>Data Principal</w:t>
      </w:r>
      <w:r>
        <w:t xml:space="preserve">; </w:t>
      </w:r>
      <w:r>
        <w:rPr>
          <w:i/>
        </w:rPr>
        <w:t>Supervisory Authority</w:t>
      </w:r>
      <w:r>
        <w:t xml:space="preserve"> ≈ </w:t>
      </w:r>
      <w:r>
        <w:rPr>
          <w:i/>
        </w:rPr>
        <w:t>Data Protection Board of India (DPBI)</w:t>
      </w:r>
      <w:r>
        <w:t>.</w:t>
      </w:r>
    </w:p>
    <w:p>
      <w:pPr>
        <w:spacing w:before="80" w:after="80"/>
        <w:ind w:left="432"/>
      </w:pPr>
      <w:r>
        <w:rPr>
          <w:b/>
        </w:rPr>
        <w:t>Languages.</w:t>
      </w:r>
      <w:r>
        <w:t xml:space="preserve"> This notice is available in English and, on request, in any of the languages in the Eighth Schedule to the Constitution of India. To request another language, contact us at </w:t>
      </w:r>
      <w:r>
        <w:rPr>
          <w:b/>
        </w:rPr>
        <w:t>[GRIEVANCE/DPO EMAIL]</w:t>
      </w:r>
      <w:r>
        <w:t>.</w:t>
      </w:r>
    </w:p>
    <w:p>
      <w:pPr>
        <w:pStyle w:val="Heading1"/>
      </w:pPr>
      <w:r>
        <w:t>1. Our two roles (please read — it determines your rights)</w:t>
      </w:r>
    </w:p>
    <w:p>
      <w:r>
        <w:t xml:space="preserve">IntervieHire processes personal data in </w:t>
      </w:r>
      <w:r>
        <w:rPr>
          <w:b/>
        </w:rPr>
        <w:t>two distinct capacities</w:t>
      </w:r>
      <w:r>
        <w:t>, and which one applies changes who is legally responsible:</w:t>
      </w:r>
    </w:p>
    <w:p>
      <w:pPr>
        <w:pStyle w:val="ListBullet"/>
      </w:pPr>
      <w:r>
        <w:rPr>
          <w:b/>
        </w:rPr>
        <w:t>As a Controller / Data Fiduciary.</w:t>
      </w:r>
      <w:r>
        <w:t xml:space="preserve"> When we decide why and how data is processed — for example, for visitors to our website, recruiter account holders, our public demo interview, candidates who apply through a public/direct IntervieHire link, and individuals we surface through our sourcing ("Talent Finder") feature — </w:t>
      </w:r>
      <w:r>
        <w:rPr>
          <w:b/>
        </w:rPr>
        <w:t>we are responsible</w:t>
      </w:r>
      <w:r>
        <w:t xml:space="preserve"> and this Policy governs.</w:t>
      </w:r>
    </w:p>
    <w:p>
      <w:pPr>
        <w:pStyle w:val="ListBullet"/>
      </w:pPr>
      <w:r>
        <w:rPr>
          <w:b/>
        </w:rPr>
        <w:t>As a Processor / Data Processor.</w:t>
      </w:r>
      <w:r>
        <w:t xml:space="preserve"> When a recruiter or employer (our customer, the "</w:t>
      </w:r>
      <w:r>
        <w:rPr>
          <w:b/>
        </w:rPr>
        <w:t>Client</w:t>
      </w:r>
      <w:r>
        <w:t xml:space="preserve">") uses IntervieHire to interview and assess </w:t>
      </w:r>
      <w:r>
        <w:rPr>
          <w:i/>
        </w:rPr>
        <w:t>their</w:t>
      </w:r>
      <w:r>
        <w:t xml:space="preserve"> candidates, the </w:t>
      </w:r>
      <w:r>
        <w:rPr>
          <w:b/>
        </w:rPr>
        <w:t>Client is the Controller/Data Fiduciary</w:t>
      </w:r>
      <w:r>
        <w:t xml:space="preserve"> and decides the purposes. We process that candidate data </w:t>
      </w:r>
      <w:r>
        <w:rPr>
          <w:b/>
        </w:rPr>
        <w:t>on the Client's instructions</w:t>
      </w:r>
      <w:r>
        <w:t xml:space="preserve"> under a Data Processing Agreement. In that case, the </w:t>
      </w:r>
      <w:r>
        <w:rPr>
          <w:b/>
        </w:rPr>
        <w:t>Client's</w:t>
      </w:r>
      <w:r>
        <w:t xml:space="preserve"> privacy notice governs, and candidates should direct requests to the Client (we will assist the Client).</w:t>
      </w:r>
    </w:p>
    <w:p>
      <w:r>
        <w:t>If you are unsure which applies to you, contact us and we will tell you.</w:t>
      </w:r>
    </w:p>
    <w:p>
      <w:pPr>
        <w:pStyle w:val="Heading1"/>
      </w:pPr>
      <w:r>
        <w:t>2. Definitions</w:t>
      </w:r>
    </w:p>
    <w:p>
      <w:pPr>
        <w:pStyle w:val="ListBullet"/>
      </w:pPr>
      <w:r>
        <w:rPr>
          <w:b/>
        </w:rPr>
        <w:t>Personal data / personal information</w:t>
      </w:r>
      <w:r>
        <w:t xml:space="preserve"> — any information relating to an identified or identifiable natural person.</w:t>
      </w:r>
    </w:p>
    <w:p>
      <w:pPr>
        <w:pStyle w:val="ListBullet"/>
      </w:pPr>
      <w:r>
        <w:rPr>
          <w:b/>
        </w:rPr>
        <w:t>Special category data (GDPR) / sensitive data (India, until 13 May 2027 under the SPDI Rules 2011)</w:t>
      </w:r>
      <w:r>
        <w:t xml:space="preserve"> — includes </w:t>
      </w:r>
      <w:r>
        <w:rPr>
          <w:b/>
        </w:rPr>
        <w:t>biometric data</w:t>
      </w:r>
      <w:r>
        <w:t>. Our face/gaze analysis and voice recordings are treated as biometric data and given the highest protection.</w:t>
      </w:r>
    </w:p>
    <w:p>
      <w:pPr>
        <w:pStyle w:val="ListBullet"/>
      </w:pPr>
      <w:r>
        <w:rPr>
          <w:b/>
        </w:rPr>
        <w:t>Processing</w:t>
      </w:r>
      <w:r>
        <w:t xml:space="preserve"> — any operation performed on personal data (collection, storage, use, sharing, deletion, etc.).</w:t>
      </w:r>
    </w:p>
    <w:p>
      <w:pPr>
        <w:pStyle w:val="ListBullet"/>
      </w:pPr>
      <w:r>
        <w:rPr>
          <w:b/>
        </w:rPr>
        <w:t>Sub-processor</w:t>
      </w:r>
      <w:r>
        <w:t xml:space="preserve"> — a third party we engage to process personal data on our behalf.</w:t>
      </w:r>
    </w:p>
    <w:p>
      <w:pPr>
        <w:pStyle w:val="ListBullet"/>
      </w:pPr>
      <w:r>
        <w:rPr>
          <w:b/>
        </w:rPr>
        <w:t>You</w:t>
      </w:r>
      <w:r>
        <w:t xml:space="preserve"> — a candidate, recruiter, website visitor, or other individual whose data we process.</w:t>
      </w:r>
    </w:p>
    <w:p>
      <w:pPr>
        <w:pStyle w:val="Heading1"/>
      </w:pPr>
      <w:r>
        <w:t>3. Whose personal data we process</w:t>
      </w:r>
    </w:p>
    <w:p>
      <w:pPr>
        <w:pStyle w:val="ListNumber"/>
      </w:pPr>
      <w:r>
        <w:rPr>
          <w:b/>
        </w:rPr>
        <w:t>Candidates / interviewees</w:t>
      </w:r>
      <w:r>
        <w:t xml:space="preserve"> — people who take, or are invited to take, an interview.</w:t>
      </w:r>
    </w:p>
    <w:p>
      <w:pPr>
        <w:pStyle w:val="ListNumber"/>
      </w:pPr>
      <w:r>
        <w:rPr>
          <w:b/>
        </w:rPr>
        <w:t>Recruiters / Client users</w:t>
      </w:r>
      <w:r>
        <w:t xml:space="preserve"> — people who hold or use an IntervieHire account.</w:t>
      </w:r>
    </w:p>
    <w:p>
      <w:pPr>
        <w:pStyle w:val="ListNumber"/>
      </w:pPr>
      <w:r>
        <w:rPr>
          <w:b/>
        </w:rPr>
        <w:t>Sourced individuals</w:t>
      </w:r>
      <w:r>
        <w:t xml:space="preserve"> — people whose professional profiles we surface via Talent Finder, who </w:t>
      </w:r>
      <w:r>
        <w:rPr>
          <w:b/>
        </w:rPr>
        <w:t>may not have applied</w:t>
      </w:r>
      <w:r>
        <w:t xml:space="preserve"> to any role (see §5 and §6 for the special rules that apply).</w:t>
      </w:r>
    </w:p>
    <w:p>
      <w:pPr>
        <w:pStyle w:val="ListNumber"/>
      </w:pPr>
      <w:r>
        <w:rPr>
          <w:b/>
        </w:rPr>
        <w:t>Website visitors</w:t>
      </w:r>
      <w:r>
        <w:t xml:space="preserve"> — people who visit our public pages.</w:t>
      </w:r>
    </w:p>
    <w:p>
      <w:pPr>
        <w:pStyle w:val="Heading1"/>
      </w:pPr>
      <w:r>
        <w:t>4. The personal data we collect</w:t>
      </w:r>
    </w:p>
    <w:p>
      <w:r>
        <w:t>We collect the following categories. Not all apply to every person.</w:t>
      </w:r>
    </w:p>
    <w:p>
      <w:pPr>
        <w:pStyle w:val="Heading2"/>
      </w:pPr>
      <w:r>
        <w:t>4.1 Account &amp; recruiter data</w:t>
      </w:r>
    </w:p>
    <w:p>
      <w:pPr>
        <w:pStyle w:val="ListBullet"/>
      </w:pPr>
      <w:r>
        <w:t>Name, work email, password (stored only as a secure hash), organisation, role/permissions.</w:t>
      </w:r>
    </w:p>
    <w:p>
      <w:pPr>
        <w:pStyle w:val="ListBullet"/>
      </w:pPr>
      <w:r>
        <w:t>Billing/contact details where applicable.</w:t>
      </w:r>
    </w:p>
    <w:p>
      <w:pPr>
        <w:pStyle w:val="Heading2"/>
      </w:pPr>
      <w:r>
        <w:t>4.2 Candidate identity &amp; application data</w:t>
      </w:r>
    </w:p>
    <w:p>
      <w:pPr>
        <w:pStyle w:val="ListBullet"/>
      </w:pPr>
      <w:r>
        <w:t>Name, email, phone number.</w:t>
      </w:r>
    </w:p>
    <w:p>
      <w:pPr>
        <w:pStyle w:val="ListBullet"/>
      </w:pPr>
      <w:r>
        <w:rPr>
          <w:b/>
        </w:rPr>
        <w:t>Résumé/CV and its parsed contents</w:t>
      </w:r>
      <w:r>
        <w:t xml:space="preserve"> (work history, education, skills, and any other personal data you choose to include in your CV).</w:t>
      </w:r>
    </w:p>
    <w:p>
      <w:pPr>
        <w:pStyle w:val="ListBullet"/>
      </w:pPr>
      <w:r>
        <w:t>Job, role, and scheduling information.</w:t>
      </w:r>
    </w:p>
    <w:p>
      <w:pPr>
        <w:pStyle w:val="Heading2"/>
      </w:pPr>
      <w:r>
        <w:t>4.3 Interview content</w:t>
      </w:r>
    </w:p>
    <w:p>
      <w:pPr>
        <w:pStyle w:val="ListBullet"/>
      </w:pPr>
      <w:r>
        <w:rPr>
          <w:b/>
        </w:rPr>
        <w:t>Your answers</w:t>
      </w:r>
      <w:r>
        <w:t xml:space="preserve">, as </w:t>
      </w:r>
      <w:r>
        <w:rPr>
          <w:b/>
        </w:rPr>
        <w:t>text transcripts</w:t>
      </w:r>
      <w:r>
        <w:t xml:space="preserve"> of what you say or type.</w:t>
      </w:r>
    </w:p>
    <w:p>
      <w:pPr>
        <w:pStyle w:val="ListBullet"/>
      </w:pPr>
      <w:r>
        <w:rPr>
          <w:b/>
        </w:rPr>
        <w:t>Audio recordings of your voice</w:t>
      </w:r>
      <w:r>
        <w:t xml:space="preserve"> (captured and transcribed during voice/avatar interviews).</w:t>
      </w:r>
    </w:p>
    <w:p>
      <w:pPr>
        <w:pStyle w:val="ListBullet"/>
      </w:pPr>
      <w:r>
        <w:rPr>
          <w:b/>
        </w:rPr>
        <w:t>Interview video / session recordings</w:t>
      </w:r>
      <w:r>
        <w:t xml:space="preserve"> where applicable.</w:t>
      </w:r>
    </w:p>
    <w:p>
      <w:pPr>
        <w:pStyle w:val="Heading2"/>
      </w:pPr>
      <w:r>
        <w:t>4.4 Biometric &amp; proctoring data (special category / sensitive — explicit consent required)</w:t>
      </w:r>
    </w:p>
    <w:p>
      <w:r>
        <w:t xml:space="preserve">During camera-based interviews, with your </w:t>
      </w:r>
      <w:r>
        <w:rPr>
          <w:b/>
        </w:rPr>
        <w:t>explicit consent</w:t>
      </w:r>
      <w:r>
        <w:t>, we process:</w:t>
      </w:r>
    </w:p>
    <w:p>
      <w:pPr>
        <w:pStyle w:val="ListBullet"/>
      </w:pPr>
      <w:r>
        <w:rPr>
          <w:b/>
        </w:rPr>
        <w:t>Facial-geometry / facial-landmark data</w:t>
      </w:r>
      <w:r>
        <w:t xml:space="preserve"> and </w:t>
      </w:r>
      <w:r>
        <w:rPr>
          <w:b/>
        </w:rPr>
        <w:t>gaze-direction data</w:t>
      </w:r>
      <w:r>
        <w:t>, computed from your camera feed to support live integrity monitoring.</w:t>
      </w:r>
    </w:p>
    <w:p>
      <w:pPr>
        <w:pStyle w:val="ListBullet"/>
      </w:pPr>
      <w:r>
        <w:rPr>
          <w:b/>
        </w:rPr>
        <w:t>Short video "violation" clips</w:t>
      </w:r>
      <w:r>
        <w:t xml:space="preserve"> and related event metadata (e.g. "looking away", "multiple faces", "no face", "camera off", "tab switch", "fullscreen exit") generated by proctoring.</w:t>
      </w:r>
    </w:p>
    <w:p>
      <w:pPr>
        <w:pStyle w:val="ListBullet"/>
      </w:pPr>
      <w:r>
        <w:rPr>
          <w:b/>
        </w:rPr>
        <w:t>Voiceprint-relevant audio</w:t>
      </w:r>
      <w:r>
        <w:t xml:space="preserve"> (your voice recording) used for transcription.</w:t>
      </w:r>
    </w:p>
    <w:p>
      <w:pPr>
        <w:spacing w:before="80" w:after="80"/>
        <w:ind w:left="432"/>
      </w:pPr>
      <w:r>
        <w:t xml:space="preserve">You can </w:t>
      </w:r>
      <w:r>
        <w:rPr>
          <w:b/>
        </w:rPr>
        <w:t>decline</w:t>
      </w:r>
      <w:r>
        <w:t xml:space="preserve"> biometric/proctoring processing. If you decline, you will be offered a text-based interview where available, or told that the camera-based interview cannot proceed. We do </w:t>
      </w:r>
      <w:r>
        <w:rPr>
          <w:b/>
        </w:rPr>
        <w:t>not</w:t>
      </w:r>
      <w:r>
        <w:t xml:space="preserve"> acquire your camera or microphone until you have given consent.</w:t>
      </w:r>
    </w:p>
    <w:p>
      <w:pPr>
        <w:pStyle w:val="Heading2"/>
      </w:pPr>
      <w:r>
        <w:t>4.5 AI assessment data</w:t>
      </w:r>
    </w:p>
    <w:p>
      <w:pPr>
        <w:pStyle w:val="ListBullet"/>
      </w:pPr>
      <w:r>
        <w:t xml:space="preserve">AI-generated </w:t>
      </w:r>
      <w:r>
        <w:rPr>
          <w:b/>
        </w:rPr>
        <w:t>scores, ratings, skill assessments, rubric evaluations, recommendations, and red-flag notes</w:t>
      </w:r>
      <w:r>
        <w:t xml:space="preserve"> produced from your interview answers and résumé.</w:t>
      </w:r>
    </w:p>
    <w:p>
      <w:pPr>
        <w:pStyle w:val="Heading2"/>
      </w:pPr>
      <w:r>
        <w:t>4.6 Sourced (Talent Finder) data</w:t>
      </w:r>
    </w:p>
    <w:p>
      <w:pPr>
        <w:pStyle w:val="ListBullet"/>
      </w:pPr>
      <w:r>
        <w:t xml:space="preserve">Professional information surfaced from </w:t>
      </w:r>
      <w:r>
        <w:rPr>
          <w:b/>
        </w:rPr>
        <w:t>publicly accessible sources</w:t>
      </w:r>
      <w:r>
        <w:t xml:space="preserve"> (e.g. GitHub, web search), such as name, public profile, skills, and links. See §6.6 for the legal basis and your rights.</w:t>
      </w:r>
    </w:p>
    <w:p>
      <w:pPr>
        <w:pStyle w:val="Heading2"/>
      </w:pPr>
      <w:r>
        <w:t>4.7 Technical &amp; usage data</w:t>
      </w:r>
    </w:p>
    <w:p>
      <w:pPr>
        <w:pStyle w:val="ListBullet"/>
      </w:pPr>
      <w:r>
        <w:t>IP address, device/browser information, approximate location, log and security-audit data, cookies and similar technologies (see §12).</w:t>
      </w:r>
    </w:p>
    <w:p>
      <w:pPr>
        <w:pStyle w:val="Heading1"/>
      </w:pPr>
      <w:r>
        <w:t>5. How we collect personal data</w:t>
      </w:r>
    </w:p>
    <w:p>
      <w:pPr>
        <w:pStyle w:val="ListBullet"/>
      </w:pPr>
      <w:r>
        <w:rPr>
          <w:b/>
        </w:rPr>
        <w:t>Directly from you</w:t>
      </w:r>
      <w:r>
        <w:t xml:space="preserve"> (e.g. you create an account, upload a CV, take an interview).</w:t>
      </w:r>
    </w:p>
    <w:p>
      <w:pPr>
        <w:pStyle w:val="ListBullet"/>
      </w:pPr>
      <w:r>
        <w:rPr>
          <w:b/>
        </w:rPr>
        <w:t>From our Clients</w:t>
      </w:r>
      <w:r>
        <w:t xml:space="preserve"> (a recruiter invites you and provides your contact details).</w:t>
      </w:r>
    </w:p>
    <w:p>
      <w:pPr>
        <w:pStyle w:val="ListBullet"/>
      </w:pPr>
      <w:r>
        <w:rPr>
          <w:b/>
        </w:rPr>
        <w:t>From public/third-party sources</w:t>
      </w:r>
      <w:r>
        <w:t xml:space="preserve"> (Talent Finder; integrations such as calendar).</w:t>
      </w:r>
    </w:p>
    <w:p>
      <w:pPr>
        <w:pStyle w:val="ListBullet"/>
      </w:pPr>
      <w:r>
        <w:rPr>
          <w:b/>
        </w:rPr>
        <w:t>Automatically</w:t>
      </w:r>
      <w:r>
        <w:t xml:space="preserve"> (cookies, device/log data, proctoring sensors during a consented interview).</w:t>
      </w:r>
    </w:p>
    <w:p>
      <w:r>
        <w:t xml:space="preserve">Where we obtain your data from a source other than you (e.g. from a Client or a public source), we provide this Policy as the notice required by </w:t>
      </w:r>
      <w:r>
        <w:rPr>
          <w:b/>
        </w:rPr>
        <w:t>GDPR Art. 14</w:t>
      </w:r>
      <w:r>
        <w:t xml:space="preserve"> and the </w:t>
      </w:r>
      <w:r>
        <w:rPr>
          <w:b/>
        </w:rPr>
        <w:t>DPDP Act</w:t>
      </w:r>
      <w:r>
        <w:t>.</w:t>
      </w:r>
    </w:p>
    <w:p>
      <w:pPr>
        <w:pStyle w:val="Heading1"/>
      </w:pPr>
      <w:r>
        <w:t>6. Why we use your data, and our legal basis</w:t>
      </w:r>
    </w:p>
    <w:p>
      <w:r>
        <w:t xml:space="preserve">For each purpose we identify the </w:t>
      </w:r>
      <w:r>
        <w:rPr>
          <w:b/>
        </w:rPr>
        <w:t>GDPR Article 6 (and, for biometrics, Article 9) basis</w:t>
      </w:r>
      <w:r>
        <w:t xml:space="preserve"> and the corresponding </w:t>
      </w:r>
      <w:r>
        <w:rPr>
          <w:b/>
        </w:rPr>
        <w:t>DPDP basis</w:t>
      </w:r>
      <w:r>
        <w:t xml:space="preserve"> (consent or a "legitimate use").</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r>
            <w:r>
              <w:rPr>
                <w:b/>
              </w:rPr>
              <w:t>#</w:t>
            </w:r>
          </w:p>
        </w:tc>
        <w:tc>
          <w:tcPr>
            <w:tcW w:type="dxa" w:w="1728"/>
          </w:tcPr>
          <w:p>
            <w:r>
              <w:rPr>
                <w:b/>
              </w:rPr>
            </w:r>
            <w:r>
              <w:rPr>
                <w:b/>
              </w:rPr>
              <w:t>Purpose</w:t>
            </w:r>
          </w:p>
        </w:tc>
        <w:tc>
          <w:tcPr>
            <w:tcW w:type="dxa" w:w="1728"/>
          </w:tcPr>
          <w:p>
            <w:r>
              <w:rPr>
                <w:b/>
              </w:rPr>
            </w:r>
            <w:r>
              <w:rPr>
                <w:b/>
              </w:rPr>
              <w:t>Data used</w:t>
            </w:r>
          </w:p>
        </w:tc>
        <w:tc>
          <w:tcPr>
            <w:tcW w:type="dxa" w:w="1728"/>
          </w:tcPr>
          <w:p>
            <w:r>
              <w:rPr>
                <w:b/>
              </w:rPr>
            </w:r>
            <w:r>
              <w:rPr>
                <w:b/>
              </w:rPr>
              <w:t>GDPR legal basis</w:t>
            </w:r>
          </w:p>
        </w:tc>
        <w:tc>
          <w:tcPr>
            <w:tcW w:type="dxa" w:w="1728"/>
          </w:tcPr>
          <w:p>
            <w:r>
              <w:rPr>
                <w:b/>
              </w:rPr>
            </w:r>
            <w:r>
              <w:rPr>
                <w:b/>
              </w:rPr>
              <w:t>DPDP basis</w:t>
            </w:r>
          </w:p>
        </w:tc>
      </w:tr>
      <w:tr>
        <w:tc>
          <w:tcPr>
            <w:tcW w:type="dxa" w:w="1728"/>
          </w:tcPr>
          <w:p>
            <w:r/>
            <w:r>
              <w:t>6.1</w:t>
            </w:r>
          </w:p>
        </w:tc>
        <w:tc>
          <w:tcPr>
            <w:tcW w:type="dxa" w:w="1728"/>
          </w:tcPr>
          <w:p>
            <w:r/>
            <w:r>
              <w:t>Provide the interview &amp; assessment Services</w:t>
            </w:r>
          </w:p>
        </w:tc>
        <w:tc>
          <w:tcPr>
            <w:tcW w:type="dxa" w:w="1728"/>
          </w:tcPr>
          <w:p>
            <w:r/>
            <w:r>
              <w:t>Identity, résumé, answers, transcripts</w:t>
            </w:r>
          </w:p>
        </w:tc>
        <w:tc>
          <w:tcPr>
            <w:tcW w:type="dxa" w:w="1728"/>
          </w:tcPr>
          <w:p>
            <w:r/>
            <w:r>
              <w:t>Contract (Art. 6(1)(b)); or legitimate interests (6(1)(f)) where we act for a Client</w:t>
            </w:r>
          </w:p>
        </w:tc>
        <w:tc>
          <w:tcPr>
            <w:tcW w:type="dxa" w:w="1728"/>
          </w:tcPr>
          <w:p>
            <w:r/>
            <w:r>
              <w:t>Consent / performance of service</w:t>
            </w:r>
          </w:p>
        </w:tc>
      </w:tr>
      <w:tr>
        <w:tc>
          <w:tcPr>
            <w:tcW w:type="dxa" w:w="1728"/>
          </w:tcPr>
          <w:p>
            <w:r/>
            <w:r>
              <w:t>6.2</w:t>
            </w:r>
          </w:p>
        </w:tc>
        <w:tc>
          <w:tcPr>
            <w:tcW w:type="dxa" w:w="1728"/>
          </w:tcPr>
          <w:p>
            <w:r/>
            <w:r>
              <w:rPr>
                <w:b/>
              </w:rPr>
              <w:t>Camera/voice proctoring &amp; biometric integrity monitoring</w:t>
            </w:r>
          </w:p>
        </w:tc>
        <w:tc>
          <w:tcPr>
            <w:tcW w:type="dxa" w:w="1728"/>
          </w:tcPr>
          <w:p>
            <w:r/>
            <w:r>
              <w:t>Facial-landmark, gaze, voice, violation clips</w:t>
            </w:r>
          </w:p>
        </w:tc>
        <w:tc>
          <w:tcPr>
            <w:tcW w:type="dxa" w:w="1728"/>
          </w:tcPr>
          <w:p>
            <w:r/>
            <w:r>
              <w:rPr>
                <w:b/>
              </w:rPr>
              <w:t>Explicit consent (Art. 9(2)(a))</w:t>
            </w:r>
            <w:r>
              <w:t xml:space="preserve"> + Art. 6(1)(a)</w:t>
            </w:r>
          </w:p>
        </w:tc>
        <w:tc>
          <w:tcPr>
            <w:tcW w:type="dxa" w:w="1728"/>
          </w:tcPr>
          <w:p>
            <w:r/>
            <w:r>
              <w:rPr>
                <w:b/>
              </w:rPr>
              <w:t>Consent</w:t>
            </w:r>
            <w:r>
              <w:t xml:space="preserve"> (and, until 13 May 2027, SPDI consent for sensitive data)</w:t>
            </w:r>
          </w:p>
        </w:tc>
      </w:tr>
      <w:tr>
        <w:tc>
          <w:tcPr>
            <w:tcW w:type="dxa" w:w="1728"/>
          </w:tcPr>
          <w:p>
            <w:r/>
            <w:r>
              <w:t>6.3</w:t>
            </w:r>
          </w:p>
        </w:tc>
        <w:tc>
          <w:tcPr>
            <w:tcW w:type="dxa" w:w="1728"/>
          </w:tcPr>
          <w:p>
            <w:r/>
            <w:r>
              <w:rPr>
                <w:b/>
              </w:rPr>
              <w:t>AI evaluation / scoring</w:t>
            </w:r>
            <w:r>
              <w:t xml:space="preserve"> of answers &amp; résumé</w:t>
            </w:r>
          </w:p>
        </w:tc>
        <w:tc>
          <w:tcPr>
            <w:tcW w:type="dxa" w:w="1728"/>
          </w:tcPr>
          <w:p>
            <w:r/>
            <w:r>
              <w:t>Transcripts, résumé, scores</w:t>
            </w:r>
          </w:p>
        </w:tc>
        <w:tc>
          <w:tcPr>
            <w:tcW w:type="dxa" w:w="1728"/>
          </w:tcPr>
          <w:p>
            <w:r/>
            <w:r>
              <w:t>Contract (6(1)(b)) and/or consent (6(1)(a)); see §7 on automated decisions</w:t>
            </w:r>
          </w:p>
        </w:tc>
        <w:tc>
          <w:tcPr>
            <w:tcW w:type="dxa" w:w="1728"/>
          </w:tcPr>
          <w:p>
            <w:r/>
            <w:r>
              <w:t>Consent</w:t>
            </w:r>
          </w:p>
        </w:tc>
      </w:tr>
      <w:tr>
        <w:tc>
          <w:tcPr>
            <w:tcW w:type="dxa" w:w="1728"/>
          </w:tcPr>
          <w:p>
            <w:r/>
            <w:r>
              <w:t>6.4</w:t>
            </w:r>
          </w:p>
        </w:tc>
        <w:tc>
          <w:tcPr>
            <w:tcW w:type="dxa" w:w="1728"/>
          </w:tcPr>
          <w:p>
            <w:r/>
            <w:r>
              <w:t>Account creation, authentication, security</w:t>
            </w:r>
          </w:p>
        </w:tc>
        <w:tc>
          <w:tcPr>
            <w:tcW w:type="dxa" w:w="1728"/>
          </w:tcPr>
          <w:p>
            <w:r/>
            <w:r>
              <w:t>Account data, log/security data</w:t>
            </w:r>
          </w:p>
        </w:tc>
        <w:tc>
          <w:tcPr>
            <w:tcW w:type="dxa" w:w="1728"/>
          </w:tcPr>
          <w:p>
            <w:r/>
            <w:r>
              <w:t>Contract (6(1)(b)); legitimate interests in security (6(1)(f))</w:t>
            </w:r>
          </w:p>
        </w:tc>
        <w:tc>
          <w:tcPr>
            <w:tcW w:type="dxa" w:w="1728"/>
          </w:tcPr>
          <w:p>
            <w:r/>
            <w:r>
              <w:t>Legitimate use (security) / consent</w:t>
            </w:r>
          </w:p>
        </w:tc>
      </w:tr>
      <w:tr>
        <w:tc>
          <w:tcPr>
            <w:tcW w:type="dxa" w:w="1728"/>
          </w:tcPr>
          <w:p>
            <w:r/>
            <w:r>
              <w:t>6.5</w:t>
            </w:r>
          </w:p>
        </w:tc>
        <w:tc>
          <w:tcPr>
            <w:tcW w:type="dxa" w:w="1728"/>
          </w:tcPr>
          <w:p>
            <w:r/>
            <w:r>
              <w:t>Communications (invites, scheduling, results)</w:t>
            </w:r>
          </w:p>
        </w:tc>
        <w:tc>
          <w:tcPr>
            <w:tcW w:type="dxa" w:w="1728"/>
          </w:tcPr>
          <w:p>
            <w:r/>
            <w:r>
              <w:t>Name, email, interview details</w:t>
            </w:r>
          </w:p>
        </w:tc>
        <w:tc>
          <w:tcPr>
            <w:tcW w:type="dxa" w:w="1728"/>
          </w:tcPr>
          <w:p>
            <w:r/>
            <w:r>
              <w:t>Contract (6(1)(b)); legitimate interests (6(1)(f))</w:t>
            </w:r>
          </w:p>
        </w:tc>
        <w:tc>
          <w:tcPr>
            <w:tcW w:type="dxa" w:w="1728"/>
          </w:tcPr>
          <w:p>
            <w:r/>
            <w:r>
              <w:t>Consent / legitimate use</w:t>
            </w:r>
          </w:p>
        </w:tc>
      </w:tr>
      <w:tr>
        <w:tc>
          <w:tcPr>
            <w:tcW w:type="dxa" w:w="1728"/>
          </w:tcPr>
          <w:p>
            <w:r/>
            <w:r>
              <w:t>6.6</w:t>
            </w:r>
          </w:p>
        </w:tc>
        <w:tc>
          <w:tcPr>
            <w:tcW w:type="dxa" w:w="1728"/>
          </w:tcPr>
          <w:p>
            <w:r/>
            <w:r>
              <w:rPr>
                <w:b/>
              </w:rPr>
              <w:t>Talent Finder sourcing</w:t>
            </w:r>
          </w:p>
        </w:tc>
        <w:tc>
          <w:tcPr>
            <w:tcW w:type="dxa" w:w="1728"/>
          </w:tcPr>
          <w:p>
            <w:r/>
            <w:r>
              <w:t>Public professional profile data</w:t>
            </w:r>
          </w:p>
        </w:tc>
        <w:tc>
          <w:tcPr>
            <w:tcW w:type="dxa" w:w="1728"/>
          </w:tcPr>
          <w:p>
            <w:r/>
            <w:r>
              <w:rPr>
                <w:b/>
              </w:rPr>
              <w:t>Legitimate interests (6(1)(f))</w:t>
            </w:r>
            <w:r>
              <w:t>, balanced against your rights</w:t>
            </w:r>
          </w:p>
        </w:tc>
        <w:tc>
          <w:tcPr>
            <w:tcW w:type="dxa" w:w="1728"/>
          </w:tcPr>
          <w:p>
            <w:r/>
            <w:r>
              <w:t xml:space="preserve">Consent or "publicly available data" basis — </w:t>
            </w:r>
            <w:r>
              <w:rPr>
                <w:b/>
              </w:rPr>
              <w:t>see caution below</w:t>
            </w:r>
          </w:p>
        </w:tc>
      </w:tr>
      <w:tr>
        <w:tc>
          <w:tcPr>
            <w:tcW w:type="dxa" w:w="1728"/>
          </w:tcPr>
          <w:p>
            <w:r/>
            <w:r>
              <w:t>6.7</w:t>
            </w:r>
          </w:p>
        </w:tc>
        <w:tc>
          <w:tcPr>
            <w:tcW w:type="dxa" w:w="1728"/>
          </w:tcPr>
          <w:p>
            <w:r/>
            <w:r>
              <w:t>Legal compliance, dispute defence, fraud prevention</w:t>
            </w:r>
          </w:p>
        </w:tc>
        <w:tc>
          <w:tcPr>
            <w:tcW w:type="dxa" w:w="1728"/>
          </w:tcPr>
          <w:p>
            <w:r/>
            <w:r>
              <w:t>As needed</w:t>
            </w:r>
          </w:p>
        </w:tc>
        <w:tc>
          <w:tcPr>
            <w:tcW w:type="dxa" w:w="1728"/>
          </w:tcPr>
          <w:p>
            <w:r/>
            <w:r>
              <w:t>Legal obligation (6(1)(c)); legitimate interests (6(1)(f))</w:t>
            </w:r>
          </w:p>
        </w:tc>
        <w:tc>
          <w:tcPr>
            <w:tcW w:type="dxa" w:w="1728"/>
          </w:tcPr>
          <w:p>
            <w:r/>
            <w:r>
              <w:t>Legal obligation / legitimate use</w:t>
            </w:r>
          </w:p>
        </w:tc>
      </w:tr>
      <w:tr>
        <w:tc>
          <w:tcPr>
            <w:tcW w:type="dxa" w:w="1728"/>
          </w:tcPr>
          <w:p>
            <w:r/>
            <w:r>
              <w:t>6.8</w:t>
            </w:r>
          </w:p>
        </w:tc>
        <w:tc>
          <w:tcPr>
            <w:tcW w:type="dxa" w:w="1728"/>
          </w:tcPr>
          <w:p>
            <w:r/>
            <w:r>
              <w:t>Product analytics &amp; improvement</w:t>
            </w:r>
          </w:p>
        </w:tc>
        <w:tc>
          <w:tcPr>
            <w:tcW w:type="dxa" w:w="1728"/>
          </w:tcPr>
          <w:p>
            <w:r/>
            <w:r>
              <w:t>Usage/technical data</w:t>
            </w:r>
          </w:p>
        </w:tc>
        <w:tc>
          <w:tcPr>
            <w:tcW w:type="dxa" w:w="1728"/>
          </w:tcPr>
          <w:p>
            <w:r/>
            <w:r>
              <w:t>Consent (cookies) / legitimate interests (6(1)(f))</w:t>
            </w:r>
          </w:p>
        </w:tc>
        <w:tc>
          <w:tcPr>
            <w:tcW w:type="dxa" w:w="1728"/>
          </w:tcPr>
          <w:p>
            <w:r/>
            <w:r>
              <w:t>Consent</w:t>
            </w:r>
          </w:p>
        </w:tc>
      </w:tr>
    </w:tbl>
    <w:p>
      <w:pPr>
        <w:spacing w:before="80" w:after="80"/>
        <w:ind w:left="432"/>
      </w:pPr>
      <w:r>
        <w:rPr>
          <w:b/>
        </w:rPr>
        <w:t>We do not use your interview data, biometrics, or résumé to train our own or any third party's general AI models</w:t>
      </w:r>
      <w:r>
        <w:t>, and we contractually require our AI sub-processors not to train their models on your data. [VERIFY this is true of your chosen AI provider's tier before publishing.]</w:t>
      </w:r>
    </w:p>
    <w:p>
      <w:pPr>
        <w:spacing w:before="80" w:after="80"/>
        <w:ind w:left="432"/>
      </w:pPr>
      <w:r>
        <w:rPr>
          <w:b/>
        </w:rPr>
        <w:t>Talent Finder caution.</w:t>
      </w:r>
      <w:r>
        <w:t xml:space="preserve"> Processing data of individuals who have not applied is higher-risk. Under GDPR we rely on legitimate interests and will honour objections. Under the DPDP Act the "publicly available" exemption (s. 3(c)(ii)) is </w:t>
      </w:r>
      <w:r>
        <w:rPr>
          <w:b/>
        </w:rPr>
        <w:t>narrow</w:t>
      </w:r>
      <w:r>
        <w:t xml:space="preserve"> — it covers only data the person </w:t>
      </w:r>
      <w:r>
        <w:rPr>
          <w:i/>
        </w:rPr>
        <w:t>themselves</w:t>
      </w:r>
      <w:r>
        <w:t xml:space="preserve"> (or someone under a legal obligation) made public, and likely does </w:t>
      </w:r>
      <w:r>
        <w:rPr>
          <w:b/>
        </w:rPr>
        <w:t>not</w:t>
      </w:r>
      <w:r>
        <w:t xml:space="preserve"> apply where that data is </w:t>
      </w:r>
      <w:r>
        <w:rPr>
          <w:b/>
        </w:rPr>
        <w:t>combined</w:t>
      </w:r>
      <w:r>
        <w:t xml:space="preserve"> with other data or </w:t>
      </w:r>
      <w:r>
        <w:rPr>
          <w:b/>
        </w:rPr>
        <w:t>repurposed</w:t>
      </w:r>
      <w:r>
        <w:t xml:space="preserve"> for recruitment beyond the person's reasonable expectations. We therefore do not rely on that exemption alone. [Verified 2026-06-27: the product has </w:t>
      </w:r>
      <w:r>
        <w:rPr>
          <w:b/>
        </w:rPr>
        <w:t>no self-serve opt-out</w:t>
      </w:r>
      <w:r>
        <w:t xml:space="preserve"> for sourced individuals — today, objections/erasure are handled manually via the §15 contact. Build a self-serve opt-out and confirm the approach with counsel.]</w:t>
      </w:r>
    </w:p>
    <w:p>
      <w:pPr>
        <w:pStyle w:val="Heading1"/>
      </w:pPr>
      <w:r>
        <w:t>7. Automated decision-making and AI (important)</w:t>
      </w:r>
    </w:p>
    <w:p>
      <w:r>
        <w:t xml:space="preserve">The Services use AI to </w:t>
      </w:r>
      <w:r>
        <w:rPr>
          <w:b/>
        </w:rPr>
        <w:t>score and assess</w:t>
      </w:r>
      <w:r>
        <w:t xml:space="preserve"> interview answers and résumés against a rubric.</w:t>
      </w:r>
    </w:p>
    <w:p>
      <w:pPr>
        <w:pStyle w:val="ListBullet"/>
      </w:pPr>
      <w:r>
        <w:t xml:space="preserve">These AI outputs are intended to </w:t>
      </w:r>
      <w:r>
        <w:rPr>
          <w:b/>
        </w:rPr>
        <w:t>assist</w:t>
      </w:r>
      <w:r>
        <w:t xml:space="preserve"> human recruiters, </w:t>
      </w:r>
      <w:r>
        <w:rPr>
          <w:b/>
        </w:rPr>
        <w:t>not</w:t>
      </w:r>
      <w:r>
        <w:t xml:space="preserve"> to make the final hiring decision on their own. A </w:t>
      </w:r>
      <w:r>
        <w:rPr>
          <w:b/>
        </w:rPr>
        <w:t>human</w:t>
      </w:r>
      <w:r>
        <w:t xml:space="preserve"> reviews and decides. [This must be operationally true — if any decision is </w:t>
      </w:r>
      <w:r>
        <w:rPr>
          <w:i/>
        </w:rPr>
        <w:t>solely</w:t>
      </w:r>
      <w:r>
        <w:t xml:space="preserve"> automated with legal or similarly significant effects, GDPR Art. 22 and DPDP transparency require additional safeguards and a different disclosure here.]</w:t>
      </w:r>
    </w:p>
    <w:p>
      <w:pPr>
        <w:pStyle w:val="ListBullet"/>
      </w:pPr>
      <w:r>
        <w:t xml:space="preserve">You have the right to </w:t>
      </w:r>
      <w:r>
        <w:rPr>
          <w:b/>
        </w:rPr>
        <w:t>obtain human intervention, express your point of view, and contest</w:t>
      </w:r>
      <w:r>
        <w:t xml:space="preserve"> an AI-assisted decision (GDPR Art. 22(3)). To exercise this, contact us at </w:t>
      </w:r>
      <w:r>
        <w:rPr>
          <w:b/>
        </w:rPr>
        <w:t>[DPO EMAIL]</w:t>
      </w:r>
      <w:r>
        <w:t>.</w:t>
      </w:r>
    </w:p>
    <w:p>
      <w:pPr>
        <w:pStyle w:val="ListBullet"/>
      </w:pPr>
      <w:r>
        <w:rPr>
          <w:b/>
        </w:rPr>
        <w:t>AI-generated avatar.</w:t>
      </w:r>
      <w:r>
        <w:t xml:space="preserve"> Where an AI avatar conducts your interview, it is </w:t>
      </w:r>
      <w:r>
        <w:rPr>
          <w:b/>
        </w:rPr>
        <w:t>artificially generated</w:t>
      </w:r>
      <w:r>
        <w:t>; it is labelled as AI-generated as required by India's IT Rules (synthetic-content amendment, 2025).</w:t>
      </w:r>
    </w:p>
    <w:p>
      <w:pPr>
        <w:pStyle w:val="ListBullet"/>
      </w:pPr>
      <w:r>
        <w:rPr>
          <w:b/>
        </w:rPr>
        <w:t>Meaningful information about the logic:</w:t>
      </w:r>
      <w:r>
        <w:t xml:space="preserve"> AI evaluates your answers against the role's skills and a scoring rubric defined by the Client/role; it produces per-skill and overall scores and written rationales. It does not access protected characteristics to score you.</w:t>
      </w:r>
    </w:p>
    <w:p>
      <w:pPr>
        <w:pStyle w:val="Heading1"/>
      </w:pPr>
      <w:r>
        <w:t>8. Who we share your data with</w:t>
      </w:r>
    </w:p>
    <w:p>
      <w:r>
        <w:t xml:space="preserve">We share personal data only as described here. </w:t>
      </w:r>
      <w:r>
        <w:rPr>
          <w:b/>
        </w:rPr>
        <w:t>We do not sell your personal data.</w:t>
      </w:r>
    </w:p>
    <w:p>
      <w:pPr>
        <w:pStyle w:val="Heading2"/>
      </w:pPr>
      <w:r>
        <w:t>8.1 Our Clients</w:t>
      </w:r>
    </w:p>
    <w:p>
      <w:r>
        <w:t xml:space="preserve">Where you interview for a Client, we share your interview data, transcripts, recordings, and AI assessment with that </w:t>
      </w:r>
      <w:r>
        <w:rPr>
          <w:b/>
        </w:rPr>
        <w:t>Client</w:t>
      </w:r>
      <w:r>
        <w:t xml:space="preserve"> (the Controller for that processing).</w:t>
      </w:r>
    </w:p>
    <w:p>
      <w:pPr>
        <w:pStyle w:val="Heading2"/>
      </w:pPr>
      <w:r>
        <w:t>8.2 Sub-processors</w:t>
      </w:r>
    </w:p>
    <w:p>
      <w:r>
        <w:t xml:space="preserve">We use the service providers below to run the Services. Each acts on our instructions under a data processing agreement. </w:t>
      </w:r>
      <w:r>
        <w:rPr>
          <w:b/>
        </w:rPr>
        <w:t>This list must be kept current; verify before publishing.</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r>
            <w:r>
              <w:rPr>
                <w:b/>
              </w:rPr>
              <w:t>Sub-processor</w:t>
            </w:r>
          </w:p>
        </w:tc>
        <w:tc>
          <w:tcPr>
            <w:tcW w:type="dxa" w:w="2160"/>
          </w:tcPr>
          <w:p>
            <w:r>
              <w:rPr>
                <w:b/>
              </w:rPr>
            </w:r>
            <w:r>
              <w:rPr>
                <w:b/>
              </w:rPr>
              <w:t>Purpose</w:t>
            </w:r>
          </w:p>
        </w:tc>
        <w:tc>
          <w:tcPr>
            <w:tcW w:type="dxa" w:w="2160"/>
          </w:tcPr>
          <w:p>
            <w:r>
              <w:rPr>
                <w:b/>
              </w:rPr>
            </w:r>
            <w:r>
              <w:rPr>
                <w:b/>
              </w:rPr>
              <w:t>Data</w:t>
            </w:r>
          </w:p>
        </w:tc>
        <w:tc>
          <w:tcPr>
            <w:tcW w:type="dxa" w:w="2160"/>
          </w:tcPr>
          <w:p>
            <w:r>
              <w:rPr>
                <w:b/>
              </w:rPr>
            </w:r>
            <w:r>
              <w:rPr>
                <w:b/>
              </w:rPr>
              <w:t>Location</w:t>
            </w:r>
          </w:p>
        </w:tc>
      </w:tr>
      <w:tr>
        <w:tc>
          <w:tcPr>
            <w:tcW w:type="dxa" w:w="2160"/>
          </w:tcPr>
          <w:p>
            <w:r/>
            <w:r>
              <w:rPr>
                <w:b/>
              </w:rPr>
              <w:t>Supabase</w:t>
            </w:r>
            <w:r>
              <w:t xml:space="preserve"> (database)</w:t>
            </w:r>
          </w:p>
        </w:tc>
        <w:tc>
          <w:tcPr>
            <w:tcW w:type="dxa" w:w="2160"/>
          </w:tcPr>
          <w:p>
            <w:r/>
            <w:r>
              <w:t>Primary data storage</w:t>
            </w:r>
          </w:p>
        </w:tc>
        <w:tc>
          <w:tcPr>
            <w:tcW w:type="dxa" w:w="2160"/>
          </w:tcPr>
          <w:p>
            <w:r/>
            <w:r>
              <w:t>All stored personal data</w:t>
            </w:r>
          </w:p>
        </w:tc>
        <w:tc>
          <w:tcPr>
            <w:tcW w:type="dxa" w:w="2160"/>
          </w:tcPr>
          <w:p>
            <w:r/>
            <w:r>
              <w:rPr>
                <w:b/>
              </w:rPr>
              <w:t>Outside India</w:t>
            </w:r>
            <w:r>
              <w:t xml:space="preserve"> (US/EU region)</w:t>
            </w:r>
          </w:p>
        </w:tc>
      </w:tr>
      <w:tr>
        <w:tc>
          <w:tcPr>
            <w:tcW w:type="dxa" w:w="2160"/>
          </w:tcPr>
          <w:p>
            <w:r/>
            <w:r>
              <w:rPr>
                <w:b/>
              </w:rPr>
              <w:t>Render</w:t>
            </w:r>
          </w:p>
        </w:tc>
        <w:tc>
          <w:tcPr>
            <w:tcW w:type="dxa" w:w="2160"/>
          </w:tcPr>
          <w:p>
            <w:r/>
            <w:r>
              <w:t>Backend/app hosting</w:t>
            </w:r>
          </w:p>
        </w:tc>
        <w:tc>
          <w:tcPr>
            <w:tcW w:type="dxa" w:w="2160"/>
          </w:tcPr>
          <w:p>
            <w:r/>
            <w:r>
              <w:t>Personal data in transit/processing</w:t>
            </w:r>
          </w:p>
        </w:tc>
        <w:tc>
          <w:tcPr>
            <w:tcW w:type="dxa" w:w="2160"/>
          </w:tcPr>
          <w:p>
            <w:r/>
            <w:r>
              <w:t>US</w:t>
            </w:r>
          </w:p>
        </w:tc>
      </w:tr>
      <w:tr>
        <w:tc>
          <w:tcPr>
            <w:tcW w:type="dxa" w:w="2160"/>
          </w:tcPr>
          <w:p>
            <w:r/>
            <w:r>
              <w:rPr>
                <w:b/>
              </w:rPr>
              <w:t>Vercel</w:t>
            </w:r>
          </w:p>
        </w:tc>
        <w:tc>
          <w:tcPr>
            <w:tcW w:type="dxa" w:w="2160"/>
          </w:tcPr>
          <w:p>
            <w:r/>
            <w:r>
              <w:t>Front-end hosting / edge</w:t>
            </w:r>
          </w:p>
        </w:tc>
        <w:tc>
          <w:tcPr>
            <w:tcW w:type="dxa" w:w="2160"/>
          </w:tcPr>
          <w:p>
            <w:r/>
            <w:r>
              <w:t>Technical + form data</w:t>
            </w:r>
          </w:p>
        </w:tc>
        <w:tc>
          <w:tcPr>
            <w:tcW w:type="dxa" w:w="2160"/>
          </w:tcPr>
          <w:p>
            <w:r/>
            <w:r>
              <w:t>US</w:t>
            </w:r>
          </w:p>
        </w:tc>
      </w:tr>
      <w:tr>
        <w:tc>
          <w:tcPr>
            <w:tcW w:type="dxa" w:w="2160"/>
          </w:tcPr>
          <w:p>
            <w:r/>
            <w:r>
              <w:rPr>
                <w:b/>
              </w:rPr>
              <w:t>[AI evaluation provider — US/EU; name it, e.g. OpenAI / Anthropic / Azure OpenAI]</w:t>
            </w:r>
          </w:p>
        </w:tc>
        <w:tc>
          <w:tcPr>
            <w:tcW w:type="dxa" w:w="2160"/>
          </w:tcPr>
          <w:p>
            <w:r/>
            <w:r>
              <w:t>AI scoring of answers &amp; résumé parsing</w:t>
            </w:r>
          </w:p>
        </w:tc>
        <w:tc>
          <w:tcPr>
            <w:tcW w:type="dxa" w:w="2160"/>
          </w:tcPr>
          <w:p>
            <w:r/>
            <w:r>
              <w:t>Transcripts, résumé text</w:t>
            </w:r>
          </w:p>
        </w:tc>
        <w:tc>
          <w:tcPr>
            <w:tcW w:type="dxa" w:w="2160"/>
          </w:tcPr>
          <w:p>
            <w:r/>
            <w:r>
              <w:t>US / EU</w:t>
            </w:r>
          </w:p>
        </w:tc>
      </w:tr>
      <w:tr>
        <w:tc>
          <w:tcPr>
            <w:tcW w:type="dxa" w:w="2160"/>
          </w:tcPr>
          <w:p>
            <w:r/>
            <w:r>
              <w:rPr>
                <w:b/>
              </w:rPr>
              <w:t>Deepgram</w:t>
            </w:r>
          </w:p>
        </w:tc>
        <w:tc>
          <w:tcPr>
            <w:tcW w:type="dxa" w:w="2160"/>
          </w:tcPr>
          <w:p>
            <w:r/>
            <w:r>
              <w:t>Speech-to-text</w:t>
            </w:r>
          </w:p>
        </w:tc>
        <w:tc>
          <w:tcPr>
            <w:tcW w:type="dxa" w:w="2160"/>
          </w:tcPr>
          <w:p>
            <w:r/>
            <w:r>
              <w:t>Voice audio</w:t>
            </w:r>
          </w:p>
        </w:tc>
        <w:tc>
          <w:tcPr>
            <w:tcW w:type="dxa" w:w="2160"/>
          </w:tcPr>
          <w:p>
            <w:r/>
            <w:r>
              <w:t>US</w:t>
            </w:r>
          </w:p>
        </w:tc>
      </w:tr>
      <w:tr>
        <w:tc>
          <w:tcPr>
            <w:tcW w:type="dxa" w:w="2160"/>
          </w:tcPr>
          <w:p>
            <w:r/>
            <w:r>
              <w:rPr>
                <w:b/>
              </w:rPr>
              <w:t>OpenAI (Whisper)</w:t>
            </w:r>
          </w:p>
        </w:tc>
        <w:tc>
          <w:tcPr>
            <w:tcW w:type="dxa" w:w="2160"/>
          </w:tcPr>
          <w:p>
            <w:r/>
            <w:r>
              <w:t>Speech-to-text (fallback)</w:t>
            </w:r>
          </w:p>
        </w:tc>
        <w:tc>
          <w:tcPr>
            <w:tcW w:type="dxa" w:w="2160"/>
          </w:tcPr>
          <w:p>
            <w:r/>
            <w:r>
              <w:t>Voice audio</w:t>
            </w:r>
          </w:p>
        </w:tc>
        <w:tc>
          <w:tcPr>
            <w:tcW w:type="dxa" w:w="2160"/>
          </w:tcPr>
          <w:p>
            <w:r/>
            <w:r>
              <w:t>US</w:t>
            </w:r>
          </w:p>
        </w:tc>
      </w:tr>
      <w:tr>
        <w:tc>
          <w:tcPr>
            <w:tcW w:type="dxa" w:w="2160"/>
          </w:tcPr>
          <w:p>
            <w:r/>
            <w:r>
              <w:rPr>
                <w:b/>
              </w:rPr>
              <w:t>OpenRouter</w:t>
            </w:r>
          </w:p>
        </w:tc>
        <w:tc>
          <w:tcPr>
            <w:tcW w:type="dxa" w:w="2160"/>
          </w:tcPr>
          <w:p>
            <w:r/>
            <w:r>
              <w:t>LLM routing (eval)</w:t>
            </w:r>
          </w:p>
        </w:tc>
        <w:tc>
          <w:tcPr>
            <w:tcW w:type="dxa" w:w="2160"/>
          </w:tcPr>
          <w:p>
            <w:r/>
            <w:r>
              <w:t>Transcripts</w:t>
            </w:r>
          </w:p>
        </w:tc>
        <w:tc>
          <w:tcPr>
            <w:tcW w:type="dxa" w:w="2160"/>
          </w:tcPr>
          <w:p>
            <w:r/>
            <w:r>
              <w:t>US</w:t>
            </w:r>
          </w:p>
        </w:tc>
      </w:tr>
      <w:tr>
        <w:tc>
          <w:tcPr>
            <w:tcW w:type="dxa" w:w="2160"/>
          </w:tcPr>
          <w:p>
            <w:r/>
            <w:r>
              <w:rPr>
                <w:b/>
              </w:rPr>
              <w:t>ElevenLabs</w:t>
            </w:r>
          </w:p>
        </w:tc>
        <w:tc>
          <w:tcPr>
            <w:tcW w:type="dxa" w:w="2160"/>
          </w:tcPr>
          <w:p>
            <w:r/>
            <w:r>
              <w:t>Text-to-speech (avatar voice)</w:t>
            </w:r>
          </w:p>
        </w:tc>
        <w:tc>
          <w:tcPr>
            <w:tcW w:type="dxa" w:w="2160"/>
          </w:tcPr>
          <w:p>
            <w:r/>
            <w:r>
              <w:t>Generated speech</w:t>
            </w:r>
          </w:p>
        </w:tc>
        <w:tc>
          <w:tcPr>
            <w:tcW w:type="dxa" w:w="2160"/>
          </w:tcPr>
          <w:p>
            <w:r/>
            <w:r>
              <w:t>US</w:t>
            </w:r>
          </w:p>
        </w:tc>
      </w:tr>
      <w:tr>
        <w:tc>
          <w:tcPr>
            <w:tcW w:type="dxa" w:w="2160"/>
          </w:tcPr>
          <w:p>
            <w:r/>
            <w:r>
              <w:rPr>
                <w:b/>
              </w:rPr>
              <w:t>Convai</w:t>
            </w:r>
          </w:p>
        </w:tc>
        <w:tc>
          <w:tcPr>
            <w:tcW w:type="dxa" w:w="2160"/>
          </w:tcPr>
          <w:p>
            <w:r/>
            <w:r>
              <w:t>AI-avatar conversation</w:t>
            </w:r>
          </w:p>
        </w:tc>
        <w:tc>
          <w:tcPr>
            <w:tcW w:type="dxa" w:w="2160"/>
          </w:tcPr>
          <w:p>
            <w:r/>
            <w:r>
              <w:t>Live voice stream</w:t>
            </w:r>
          </w:p>
        </w:tc>
        <w:tc>
          <w:tcPr>
            <w:tcW w:type="dxa" w:w="2160"/>
          </w:tcPr>
          <w:p>
            <w:r/>
            <w:r>
              <w:t>US</w:t>
            </w:r>
          </w:p>
        </w:tc>
      </w:tr>
      <w:tr>
        <w:tc>
          <w:tcPr>
            <w:tcW w:type="dxa" w:w="2160"/>
          </w:tcPr>
          <w:p>
            <w:r/>
            <w:r>
              <w:rPr>
                <w:b/>
              </w:rPr>
              <w:t>Google (Calendar)</w:t>
            </w:r>
          </w:p>
        </w:tc>
        <w:tc>
          <w:tcPr>
            <w:tcW w:type="dxa" w:w="2160"/>
          </w:tcPr>
          <w:p>
            <w:r/>
            <w:r>
              <w:t>Scheduling</w:t>
            </w:r>
          </w:p>
        </w:tc>
        <w:tc>
          <w:tcPr>
            <w:tcW w:type="dxa" w:w="2160"/>
          </w:tcPr>
          <w:p>
            <w:r/>
            <w:r>
              <w:t>Name, email, time</w:t>
            </w:r>
          </w:p>
        </w:tc>
        <w:tc>
          <w:tcPr>
            <w:tcW w:type="dxa" w:w="2160"/>
          </w:tcPr>
          <w:p>
            <w:r/>
            <w:r>
              <w:t>US</w:t>
            </w:r>
          </w:p>
        </w:tc>
      </w:tr>
      <w:tr>
        <w:tc>
          <w:tcPr>
            <w:tcW w:type="dxa" w:w="2160"/>
          </w:tcPr>
          <w:p>
            <w:r/>
            <w:r>
              <w:rPr>
                <w:b/>
              </w:rPr>
              <w:t>Email (Resend; Gmail SMTP / Mailgun as configured)</w:t>
            </w:r>
          </w:p>
        </w:tc>
        <w:tc>
          <w:tcPr>
            <w:tcW w:type="dxa" w:w="2160"/>
          </w:tcPr>
          <w:p>
            <w:r/>
            <w:r>
              <w:t>Transactional email (invites, scheduling, results)</w:t>
            </w:r>
          </w:p>
        </w:tc>
        <w:tc>
          <w:tcPr>
            <w:tcW w:type="dxa" w:w="2160"/>
          </w:tcPr>
          <w:p>
            <w:r/>
            <w:r>
              <w:t>Name, email, links</w:t>
            </w:r>
          </w:p>
        </w:tc>
        <w:tc>
          <w:tcPr>
            <w:tcW w:type="dxa" w:w="2160"/>
          </w:tcPr>
          <w:p>
            <w:r/>
            <w:r>
              <w:t>US</w:t>
            </w:r>
          </w:p>
        </w:tc>
      </w:tr>
      <w:tr>
        <w:tc>
          <w:tcPr>
            <w:tcW w:type="dxa" w:w="2160"/>
          </w:tcPr>
          <w:p>
            <w:r/>
            <w:r>
              <w:rPr>
                <w:b/>
              </w:rPr>
              <w:t>Google Gemini / Groq / xAI (Grok)</w:t>
            </w:r>
            <w:r>
              <w:t xml:space="preserve"> (fallbacks)</w:t>
            </w:r>
          </w:p>
        </w:tc>
        <w:tc>
          <w:tcPr>
            <w:tcW w:type="dxa" w:w="2160"/>
          </w:tcPr>
          <w:p>
            <w:r/>
            <w:r>
              <w:t>AI eval fallbacks when DeepSeek is unavailable</w:t>
            </w:r>
          </w:p>
        </w:tc>
        <w:tc>
          <w:tcPr>
            <w:tcW w:type="dxa" w:w="2160"/>
          </w:tcPr>
          <w:p>
            <w:r/>
            <w:r>
              <w:t>Transcripts, résumé text</w:t>
            </w:r>
          </w:p>
        </w:tc>
        <w:tc>
          <w:tcPr>
            <w:tcW w:type="dxa" w:w="2160"/>
          </w:tcPr>
          <w:p>
            <w:r/>
            <w:r>
              <w:t>US</w:t>
            </w:r>
          </w:p>
        </w:tc>
      </w:tr>
      <w:tr>
        <w:tc>
          <w:tcPr>
            <w:tcW w:type="dxa" w:w="2160"/>
          </w:tcPr>
          <w:p>
            <w:r/>
            <w:r>
              <w:rPr>
                <w:b/>
              </w:rPr>
              <w:t>Brave Search / Google CSE / GitHub</w:t>
            </w:r>
          </w:p>
        </w:tc>
        <w:tc>
          <w:tcPr>
            <w:tcW w:type="dxa" w:w="2160"/>
          </w:tcPr>
          <w:p>
            <w:r/>
            <w:r>
              <w:t>Talent Finder sourcing</w:t>
            </w:r>
          </w:p>
        </w:tc>
        <w:tc>
          <w:tcPr>
            <w:tcW w:type="dxa" w:w="2160"/>
          </w:tcPr>
          <w:p>
            <w:r/>
            <w:r>
              <w:t>Search queries / public profiles</w:t>
            </w:r>
          </w:p>
        </w:tc>
        <w:tc>
          <w:tcPr>
            <w:tcW w:type="dxa" w:w="2160"/>
          </w:tcPr>
          <w:p>
            <w:r/>
            <w:r>
              <w:t>US</w:t>
            </w:r>
          </w:p>
        </w:tc>
      </w:tr>
    </w:tbl>
    <w:p>
      <w:pPr>
        <w:spacing w:before="80" w:after="80"/>
        <w:ind w:left="432"/>
      </w:pPr>
      <w:r>
        <w:t xml:space="preserve">✅ </w:t>
      </w:r>
      <w:r>
        <w:rPr>
          <w:b/>
        </w:rPr>
        <w:t>All AI providers are US/EU-based</w:t>
      </w:r>
      <w:r>
        <w:t xml:space="preserve"> — DeepSeek (China) has been removed (per the team, 2026-06-27), so </w:t>
      </w:r>
      <w:r>
        <w:rPr>
          <w:b/>
        </w:rPr>
        <w:t>no candidate data is sent to China</w:t>
      </w:r>
      <w:r>
        <w:t xml:space="preserve">. </w:t>
      </w:r>
      <w:r>
        <w:rPr>
          <w:b/>
        </w:rPr>
        <w:t>Name the actual primary AI evaluation provider</w:t>
      </w:r>
      <w:r>
        <w:t xml:space="preserve"> in the row above before publishing (do not leave a placeholder). The eval fallbacks (Gemini / Groq / xAI-Grok / OpenRouter, all US) can also receive transcript/résumé text — keep them listed while configured. ⚠️ </w:t>
      </w:r>
      <w:r>
        <w:rPr>
          <w:b/>
        </w:rPr>
        <w:t>Internal:</w:t>
      </w:r>
      <w:r>
        <w:t xml:space="preserve"> this is a legal-document change only; confirm no deployed code path can still reach DeepSeek, otherwise this "no China" statement is false.</w:t>
      </w:r>
    </w:p>
    <w:p>
      <w:pPr>
        <w:pStyle w:val="Heading2"/>
      </w:pPr>
      <w:r>
        <w:t>8.3 Others</w:t>
      </w:r>
    </w:p>
    <w:p>
      <w:pPr>
        <w:pStyle w:val="ListBullet"/>
      </w:pPr>
      <w:r>
        <w:rPr>
          <w:b/>
        </w:rPr>
        <w:t>Professional advisers</w:t>
      </w:r>
      <w:r>
        <w:t xml:space="preserve"> (lawyers, auditors) under confidentiality.</w:t>
      </w:r>
    </w:p>
    <w:p>
      <w:pPr>
        <w:pStyle w:val="ListBullet"/>
      </w:pPr>
      <w:r>
        <w:rPr>
          <w:b/>
        </w:rPr>
        <w:t>Authorities/regulators</w:t>
      </w:r>
      <w:r>
        <w:t xml:space="preserve"> where required by law, or to protect rights and safety.</w:t>
      </w:r>
    </w:p>
    <w:p>
      <w:pPr>
        <w:pStyle w:val="ListBullet"/>
      </w:pPr>
      <w:r>
        <w:rPr>
          <w:b/>
        </w:rPr>
        <w:t>Successors</w:t>
      </w:r>
      <w:r>
        <w:t xml:space="preserve"> in a merger, acquisition, or reorganisation (with notice where required).</w:t>
      </w:r>
    </w:p>
    <w:p>
      <w:pPr>
        <w:pStyle w:val="Heading1"/>
      </w:pPr>
      <w:r>
        <w:t>9. International data transfers</w:t>
      </w:r>
    </w:p>
    <w:p>
      <w:r>
        <w:t xml:space="preserve">IntervieHire and its sub-processors process personal data </w:t>
      </w:r>
      <w:r>
        <w:rPr>
          <w:b/>
        </w:rPr>
        <w:t>outside India</w:t>
      </w:r>
      <w:r>
        <w:t xml:space="preserve"> and, in many cases, </w:t>
      </w:r>
      <w:r>
        <w:rPr>
          <w:b/>
        </w:rPr>
        <w:t>outside the EU/EEA/UK</w:t>
      </w:r>
      <w:r>
        <w:t xml:space="preserve"> (primarily in the </w:t>
      </w:r>
      <w:r>
        <w:rPr>
          <w:b/>
        </w:rPr>
        <w:t>United States</w:t>
      </w:r>
      <w:r>
        <w:t>). This means:</w:t>
      </w:r>
    </w:p>
    <w:p>
      <w:pPr>
        <w:pStyle w:val="ListBullet"/>
      </w:pPr>
      <w:r>
        <w:rPr>
          <w:b/>
        </w:rPr>
        <w:t>For EU/EEA/UK data:</w:t>
      </w:r>
      <w:r>
        <w:t xml:space="preserve"> transfers outside the EEA/UK rely on appropriate safeguards under GDPR Chapter V — principally the European Commission's </w:t>
      </w:r>
      <w:r>
        <w:rPr>
          <w:b/>
        </w:rPr>
        <w:t>Standard Contractual Clauses (SCCs)</w:t>
      </w:r>
      <w:r>
        <w:t xml:space="preserve"> (and the UK International Data Transfer Addendum), and/or an adequacy decision where one applies. You may request a copy of the safeguards we use at </w:t>
      </w:r>
      <w:r>
        <w:rPr>
          <w:b/>
        </w:rPr>
        <w:t>[DPO EMAIL]</w:t>
      </w:r>
      <w:r>
        <w:t>. [Ensure SCCs/DPAs are actually signed with each sub-processor before relying on this.]</w:t>
      </w:r>
    </w:p>
    <w:p>
      <w:pPr>
        <w:pStyle w:val="ListBullet"/>
      </w:pPr>
      <w:r>
        <w:rPr>
          <w:b/>
        </w:rPr>
        <w:t>For India data:</w:t>
      </w:r>
      <w:r>
        <w:t xml:space="preserve"> the DPDP Act permits transfers to countries not on a Central Government "restricted" list. As of this Policy's date, no such list affects our transfers, but we remain responsible for protecting your data after transfer and disclose all cross-border recipients in §8.2 above.</w:t>
      </w:r>
    </w:p>
    <w:p>
      <w:r>
        <w:t>We apply encryption, access controls, and contractual protections regardless of where data is processed (see §11).</w:t>
      </w:r>
    </w:p>
    <w:p>
      <w:pPr>
        <w:pStyle w:val="Heading1"/>
      </w:pPr>
      <w:r>
        <w:t>10. How long we keep your data (retention)</w:t>
      </w:r>
    </w:p>
    <w:p>
      <w:r>
        <w:t>We keep personal data only as long as necessary for the purposes above, then delete or anonymise it.</w:t>
      </w:r>
    </w:p>
    <w:tbl>
      <w:tblPr>
        <w:tblStyle w:val="TableGrid"/>
        <w:tblW w:type="auto" w:w="0"/>
        <w:tblLook w:firstColumn="1" w:firstRow="1" w:lastColumn="0" w:lastRow="0" w:noHBand="0" w:noVBand="1" w:val="04A0"/>
      </w:tblPr>
      <w:tblGrid>
        <w:gridCol w:w="4320"/>
        <w:gridCol w:w="4320"/>
      </w:tblGrid>
      <w:tr>
        <w:tc>
          <w:tcPr>
            <w:tcW w:type="dxa" w:w="4320"/>
          </w:tcPr>
          <w:p>
            <w:r>
              <w:rPr>
                <w:b/>
              </w:rPr>
            </w:r>
            <w:r>
              <w:rPr>
                <w:b/>
              </w:rPr>
              <w:t>Data</w:t>
            </w:r>
          </w:p>
        </w:tc>
        <w:tc>
          <w:tcPr>
            <w:tcW w:type="dxa" w:w="4320"/>
          </w:tcPr>
          <w:p>
            <w:r>
              <w:rPr>
                <w:b/>
              </w:rPr>
            </w:r>
            <w:r>
              <w:rPr>
                <w:b/>
              </w:rPr>
              <w:t>Indicative retention</w:t>
            </w:r>
          </w:p>
        </w:tc>
      </w:tr>
      <w:tr>
        <w:tc>
          <w:tcPr>
            <w:tcW w:type="dxa" w:w="4320"/>
          </w:tcPr>
          <w:p>
            <w:r/>
            <w:r>
              <w:t>Candidate interview data, transcripts, recordings, AI scores</w:t>
            </w:r>
          </w:p>
        </w:tc>
        <w:tc>
          <w:tcPr>
            <w:tcW w:type="dxa" w:w="4320"/>
          </w:tcPr>
          <w:p>
            <w:r/>
            <w:r>
              <w:t>[N] days/months after the hiring decision, or per Client instruction</w:t>
            </w:r>
          </w:p>
        </w:tc>
      </w:tr>
      <w:tr>
        <w:tc>
          <w:tcPr>
            <w:tcW w:type="dxa" w:w="4320"/>
          </w:tcPr>
          <w:p>
            <w:r/>
            <w:r>
              <w:t>Biometric &amp; proctoring clips</w:t>
            </w:r>
          </w:p>
        </w:tc>
        <w:tc>
          <w:tcPr>
            <w:tcW w:type="dxa" w:w="4320"/>
          </w:tcPr>
          <w:p>
            <w:r/>
            <w:r>
              <w:t xml:space="preserve">The </w:t>
            </w:r>
            <w:r>
              <w:rPr>
                <w:b/>
              </w:rPr>
              <w:t>shortest</w:t>
            </w:r>
            <w:r>
              <w:t xml:space="preserve"> period needed for integrity review — [N] days — then deleted</w:t>
            </w:r>
          </w:p>
        </w:tc>
      </w:tr>
      <w:tr>
        <w:tc>
          <w:tcPr>
            <w:tcW w:type="dxa" w:w="4320"/>
          </w:tcPr>
          <w:p>
            <w:r/>
            <w:r>
              <w:t>Résumé / sourced profile data</w:t>
            </w:r>
          </w:p>
        </w:tc>
        <w:tc>
          <w:tcPr>
            <w:tcW w:type="dxa" w:w="4320"/>
          </w:tcPr>
          <w:p>
            <w:r/>
            <w:r>
              <w:t>[N] months, or until you request deletion</w:t>
            </w:r>
          </w:p>
        </w:tc>
      </w:tr>
      <w:tr>
        <w:tc>
          <w:tcPr>
            <w:tcW w:type="dxa" w:w="4320"/>
          </w:tcPr>
          <w:p>
            <w:r/>
            <w:r>
              <w:t>Account data</w:t>
            </w:r>
          </w:p>
        </w:tc>
        <w:tc>
          <w:tcPr>
            <w:tcW w:type="dxa" w:w="4320"/>
          </w:tcPr>
          <w:p>
            <w:r/>
            <w:r>
              <w:t>Duration of the account + [N] months</w:t>
            </w:r>
          </w:p>
        </w:tc>
      </w:tr>
      <w:tr>
        <w:tc>
          <w:tcPr>
            <w:tcW w:type="dxa" w:w="4320"/>
          </w:tcPr>
          <w:p>
            <w:r/>
            <w:r>
              <w:rPr>
                <w:b/>
              </w:rPr>
              <w:t>Security &amp; access logs</w:t>
            </w:r>
          </w:p>
        </w:tc>
        <w:tc>
          <w:tcPr>
            <w:tcW w:type="dxa" w:w="4320"/>
          </w:tcPr>
          <w:p>
            <w:r/>
            <w:r>
              <w:t xml:space="preserve">Retained for </w:t>
            </w:r>
            <w:r>
              <w:rPr>
                <w:b/>
              </w:rPr>
              <w:t>at least 1 year</w:t>
            </w:r>
            <w:r>
              <w:t xml:space="preserve"> as required by the DPDP Rules 2025 for breach detection/investigation</w:t>
            </w:r>
          </w:p>
        </w:tc>
      </w:tr>
    </w:tbl>
    <w:p>
      <w:r>
        <w:t>Where law requires longer retention (e.g. to defend legal claims), we keep the minimum necessary for that purpose only.</w:t>
      </w:r>
    </w:p>
    <w:p>
      <w:pPr>
        <w:pStyle w:val="Heading1"/>
      </w:pPr>
      <w:r>
        <w:t>11. How we protect your data (security)</w:t>
      </w:r>
    </w:p>
    <w:p>
      <w:r>
        <w:t xml:space="preserve">We implement </w:t>
      </w:r>
      <w:r>
        <w:rPr>
          <w:b/>
        </w:rPr>
        <w:t>reasonable technical and organisational safeguards</w:t>
      </w:r>
      <w:r>
        <w:t xml:space="preserve">, including encryption in transit and at rest, access controls and access logging, least-privilege access, backups, and breach response procedures. In the event of a personal-data breach we will notify the relevant authority and affected individuals as required. Under the </w:t>
      </w:r>
      <w:r>
        <w:rPr>
          <w:b/>
        </w:rPr>
        <w:t>DPDP Rules 2025</w:t>
      </w:r>
      <w:r>
        <w:t xml:space="preserve">, we will inform </w:t>
      </w:r>
      <w:r>
        <w:rPr>
          <w:b/>
        </w:rPr>
        <w:t>affected Data Principals without undue delay</w:t>
      </w:r>
      <w:r>
        <w:t xml:space="preserve"> and the </w:t>
      </w:r>
      <w:r>
        <w:rPr>
          <w:b/>
        </w:rPr>
        <w:t>Data Protection Board of India without delay</w:t>
      </w:r>
      <w:r>
        <w:t xml:space="preserve">, followed by a </w:t>
      </w:r>
      <w:r>
        <w:rPr>
          <w:b/>
        </w:rPr>
        <w:t>detailed report to the Board within 72 hours</w:t>
      </w:r>
      <w:r>
        <w:t xml:space="preserve"> (extendable on the Board's permission). Under the </w:t>
      </w:r>
      <w:r>
        <w:rPr>
          <w:b/>
        </w:rPr>
        <w:t>GDPR</w:t>
      </w:r>
      <w:r>
        <w:t xml:space="preserve">, we will notify the competent supervisory authority </w:t>
      </w:r>
      <w:r>
        <w:rPr>
          <w:b/>
        </w:rPr>
        <w:t>within 72 hours</w:t>
      </w:r>
      <w:r>
        <w:t xml:space="preserve"> of becoming aware where the breach is likely to risk individuals' rights, and affected individuals without undue delay where that risk is high.</w:t>
      </w:r>
    </w:p>
    <w:p>
      <w:r>
        <w:t>No system is perfectly secure; we cannot guarantee absolute security.</w:t>
      </w:r>
    </w:p>
    <w:p>
      <w:pPr>
        <w:pStyle w:val="Heading1"/>
      </w:pPr>
      <w:r>
        <w:t>12. Cookies and similar technologies</w:t>
      </w:r>
    </w:p>
    <w:p>
      <w:r>
        <w:t xml:space="preserve">We use </w:t>
      </w:r>
      <w:r>
        <w:rPr>
          <w:b/>
        </w:rPr>
        <w:t>strictly necessary cookies</w:t>
      </w:r>
      <w:r>
        <w:t xml:space="preserve"> for authentication (e.g. a login token and your active organisation) and </w:t>
      </w:r>
      <w:r>
        <w:rPr>
          <w:b/>
        </w:rPr>
        <w:t>local browser storage</w:t>
      </w:r>
      <w:r>
        <w:t xml:space="preserve"> to remember your interview consent. We do </w:t>
      </w:r>
      <w:r>
        <w:rPr>
          <w:b/>
        </w:rPr>
        <w:t>not</w:t>
      </w:r>
      <w:r>
        <w:t xml:space="preserve"> currently use third-party analytics, advertising, or tracking cookies. If we introduce non-essential cookies in future, we will request your consent first and update this section. [Verified 2026-06-27: no Google Analytics / Mixpanel / Sentry / tracking pixels in the codebase — only auth cookies + localStorage. If you later add analytics or a cookie banner, link a separate Cookie Policy here.]</w:t>
      </w:r>
    </w:p>
    <w:p>
      <w:pPr>
        <w:pStyle w:val="Heading1"/>
      </w:pPr>
      <w:r>
        <w:t>13. Your rights</w:t>
      </w:r>
    </w:p>
    <w:p>
      <w:r>
        <w:t>Subject to the conditions and exceptions in applicable law, you have the following rights.</w:t>
      </w:r>
    </w:p>
    <w:p>
      <w:pPr>
        <w:pStyle w:val="Heading2"/>
      </w:pPr>
      <w:r>
        <w:t>13.1 Rights under both GDPR and the DPDP Act</w:t>
      </w:r>
    </w:p>
    <w:p>
      <w:pPr>
        <w:pStyle w:val="ListBullet"/>
      </w:pPr>
      <w:r>
        <w:rPr>
          <w:b/>
        </w:rPr>
        <w:t>Access</w:t>
      </w:r>
      <w:r>
        <w:t xml:space="preserve"> — obtain confirmation and a copy/summary of your data and how it is processed.</w:t>
      </w:r>
    </w:p>
    <w:p>
      <w:pPr>
        <w:pStyle w:val="ListBullet"/>
      </w:pPr>
      <w:r>
        <w:rPr>
          <w:b/>
        </w:rPr>
        <w:t>Correction / rectification</w:t>
      </w:r>
      <w:r>
        <w:t xml:space="preserve"> — fix inaccurate or incomplete data.</w:t>
      </w:r>
    </w:p>
    <w:p>
      <w:pPr>
        <w:pStyle w:val="ListBullet"/>
      </w:pPr>
      <w:r>
        <w:rPr>
          <w:b/>
        </w:rPr>
        <w:t>Erasure / deletion</w:t>
      </w:r>
      <w:r>
        <w:t xml:space="preserve"> — have your data deleted where there is no overriding reason to keep it.</w:t>
      </w:r>
    </w:p>
    <w:p>
      <w:pPr>
        <w:pStyle w:val="ListBullet"/>
      </w:pPr>
      <w:r>
        <w:rPr>
          <w:b/>
        </w:rPr>
        <w:t>Withdraw consent</w:t>
      </w:r>
      <w:r>
        <w:t xml:space="preserve"> — at any time, as easily as you gave it (this does not affect prior lawful processing).</w:t>
      </w:r>
    </w:p>
    <w:p>
      <w:pPr>
        <w:pStyle w:val="ListBullet"/>
      </w:pPr>
      <w:r>
        <w:rPr>
          <w:b/>
        </w:rPr>
        <w:t>Complain</w:t>
      </w:r>
      <w:r>
        <w:t xml:space="preserve"> — to a regulator (see §15).</w:t>
      </w:r>
    </w:p>
    <w:p>
      <w:pPr>
        <w:pStyle w:val="Heading2"/>
      </w:pPr>
      <w:r>
        <w:t>13.2 Additional GDPR rights (EU/EEA/UK)</w:t>
      </w:r>
    </w:p>
    <w:p>
      <w:pPr>
        <w:pStyle w:val="ListBullet"/>
      </w:pPr>
      <w:r>
        <w:rPr>
          <w:b/>
        </w:rPr>
        <w:t>Restriction</w:t>
      </w:r>
      <w:r>
        <w:t xml:space="preserve"> of processing; </w:t>
      </w:r>
      <w:r>
        <w:rPr>
          <w:b/>
        </w:rPr>
        <w:t>Objection</w:t>
      </w:r>
      <w:r>
        <w:t xml:space="preserve"> to processing based on legitimate interests (including objecting to Talent Finder sourcing and to direct marketing); </w:t>
      </w:r>
      <w:r>
        <w:rPr>
          <w:b/>
        </w:rPr>
        <w:t>Data portability</w:t>
      </w:r>
      <w:r>
        <w:t xml:space="preserve">; and rights regarding </w:t>
      </w:r>
      <w:r>
        <w:rPr>
          <w:b/>
        </w:rPr>
        <w:t>automated decisions</w:t>
      </w:r>
      <w:r>
        <w:t xml:space="preserve"> (see §7).</w:t>
      </w:r>
    </w:p>
    <w:p>
      <w:pPr>
        <w:pStyle w:val="Heading2"/>
      </w:pPr>
      <w:r>
        <w:t>13.3 Additional DPDP rights (India)</w:t>
      </w:r>
    </w:p>
    <w:p>
      <w:pPr>
        <w:pStyle w:val="ListBullet"/>
      </w:pPr>
      <w:r>
        <w:rPr>
          <w:b/>
        </w:rPr>
        <w:t>Grievance redressal</w:t>
      </w:r>
      <w:r>
        <w:t xml:space="preserve"> — raise a complaint with our Grievance Officer; we will respond within </w:t>
      </w:r>
      <w:r>
        <w:rPr>
          <w:b/>
        </w:rPr>
        <w:t>90 days</w:t>
      </w:r>
      <w:r>
        <w:t xml:space="preserve"> (see §15).</w:t>
      </w:r>
    </w:p>
    <w:p>
      <w:pPr>
        <w:pStyle w:val="ListBullet"/>
      </w:pPr>
      <w:r>
        <w:rPr>
          <w:b/>
        </w:rPr>
        <w:t>Nomination</w:t>
      </w:r>
      <w:r>
        <w:t xml:space="preserve"> — nominate another individual to exercise your rights in the event of your death or incapacity.</w:t>
      </w:r>
    </w:p>
    <w:p>
      <w:pPr>
        <w:pStyle w:val="Heading2"/>
      </w:pPr>
      <w:r>
        <w:t>13.4 How to exercise your rights</w:t>
      </w:r>
    </w:p>
    <w:p>
      <w:r>
        <w:t xml:space="preserve">Email </w:t>
      </w:r>
      <w:r>
        <w:rPr>
          <w:b/>
        </w:rPr>
        <w:t>[DPO/GRIEVANCE EMAIL]</w:t>
      </w:r>
      <w:r>
        <w:t xml:space="preserve"> with your request. We will verify your identity and respond within the timeframes required by law (generally </w:t>
      </w:r>
      <w:r>
        <w:rPr>
          <w:b/>
        </w:rPr>
        <w:t>one month</w:t>
      </w:r>
      <w:r>
        <w:t xml:space="preserve"> under GDPR; </w:t>
      </w:r>
      <w:r>
        <w:rPr>
          <w:b/>
        </w:rPr>
        <w:t>90 days</w:t>
      </w:r>
      <w:r>
        <w:t xml:space="preserve"> for DPDP grievances). These rights are </w:t>
      </w:r>
      <w:r>
        <w:rPr>
          <w:b/>
        </w:rPr>
        <w:t>free</w:t>
      </w:r>
      <w:r>
        <w:t xml:space="preserve"> in most cases. If you interviewed for a Client, we may need to forward your request to that Client (the Controller) and will tell you if so.</w:t>
      </w:r>
    </w:p>
    <w:p>
      <w:pPr>
        <w:pStyle w:val="Heading1"/>
      </w:pPr>
      <w:r>
        <w:t>14. Children and vulnerable persons</w:t>
      </w:r>
    </w:p>
    <w:p>
      <w:r>
        <w:t xml:space="preserve">The Services are </w:t>
      </w:r>
      <w:r>
        <w:rPr>
          <w:b/>
        </w:rPr>
        <w:t>intended for individuals aged 18 and over.</w:t>
      </w:r>
    </w:p>
    <w:p>
      <w:pPr>
        <w:pStyle w:val="ListBullet"/>
      </w:pPr>
      <w:r>
        <w:t xml:space="preserve">We ask candidates to confirm they are </w:t>
      </w:r>
      <w:r>
        <w:rPr>
          <w:b/>
        </w:rPr>
        <w:t>18 or older</w:t>
      </w:r>
      <w:r>
        <w:t xml:space="preserve"> before a camera-based interview.</w:t>
      </w:r>
    </w:p>
    <w:p>
      <w:pPr>
        <w:pStyle w:val="ListBullet"/>
      </w:pPr>
      <w:r>
        <w:t xml:space="preserve">Under the DPDP Act and DPDP Rules 2025, processing the data of a person </w:t>
      </w:r>
      <w:r>
        <w:rPr>
          <w:b/>
        </w:rPr>
        <w:t>under 18</w:t>
      </w:r>
      <w:r>
        <w:t xml:space="preserve">, or of a </w:t>
      </w:r>
      <w:r>
        <w:rPr>
          <w:b/>
        </w:rPr>
        <w:t>person with a disability who has a lawful guardian</w:t>
      </w:r>
      <w:r>
        <w:t xml:space="preserve">, requires </w:t>
      </w:r>
      <w:r>
        <w:rPr>
          <w:b/>
        </w:rPr>
        <w:t>verifiable parental/guardian consent</w:t>
      </w:r>
      <w:r>
        <w:t>. We do not knowingly process such data without it. If you believe we hold a minor's data without proper consent, contact us and we will delete it.</w:t>
      </w:r>
    </w:p>
    <w:p>
      <w:pPr>
        <w:pStyle w:val="ListBullet"/>
      </w:pPr>
      <w:r>
        <w:t>Under the GDPR/UK GDPR, additional protections apply to children's data.</w:t>
      </w:r>
    </w:p>
    <w:p>
      <w:pPr>
        <w:pStyle w:val="Heading1"/>
      </w:pPr>
      <w:r>
        <w:t>15. Contact, Data Protection Officer, and complaints</w:t>
      </w:r>
    </w:p>
    <w:p>
      <w:r>
        <w:rPr>
          <w:b/>
        </w:rPr>
        <w:t>Data Fiduciary / Controller:</w:t>
      </w:r>
      <w:r>
        <w:t xml:space="preserve"> [LEGAL ENTITY NAME], [REGISTERED ADDRESS].</w:t>
      </w:r>
    </w:p>
    <w:p>
      <w:r>
        <w:rPr>
          <w:b/>
        </w:rPr>
        <w:t>Grievance Officer / Data Protection Officer (India, DPDP):</w:t>
      </w:r>
      <w:r>
        <w:t xml:space="preserve"> [NAME], [EMAIL], [PHONE/ADDRESS].</w:t>
      </w:r>
    </w:p>
    <w:p>
      <w:r>
        <w:rPr>
          <w:b/>
        </w:rPr>
        <w:t>Data Protection Officer / Privacy Contact (GDPR):</w:t>
      </w:r>
      <w:r>
        <w:t xml:space="preserve"> [NAME/EMAIL]. </w:t>
      </w:r>
      <w:r>
        <w:rPr>
          <w:i/>
        </w:rPr>
        <w:t>(Appoint a DPO if required under GDPR Art. 37.)</w:t>
      </w:r>
    </w:p>
    <w:p>
      <w:r>
        <w:rPr>
          <w:b/>
        </w:rPr>
        <w:t>EU / UK Representative (if applicable):</w:t>
      </w:r>
      <w:r>
        <w:t xml:space="preserve"> If we are established outside the EU/UK but offer Services to, or monitor, individuals in the EU/EEA/UK, our Article 27 representative is: [EU REP NAME &amp; ADDRESS] / [UK REP NAME &amp; ADDRESS]. </w:t>
      </w:r>
      <w:r>
        <w:rPr>
          <w:i/>
        </w:rPr>
        <w:t>(Required if you target EU/UK data subjects.)</w:t>
      </w:r>
    </w:p>
    <w:p>
      <w:r>
        <w:rPr>
          <w:b/>
        </w:rPr>
        <w:t>Right to complain to a regulator:</w:t>
      </w:r>
    </w:p>
    <w:p>
      <w:pPr>
        <w:pStyle w:val="ListBullet"/>
      </w:pPr>
      <w:r>
        <w:rPr>
          <w:b/>
        </w:rPr>
        <w:t>India:</w:t>
      </w:r>
      <w:r>
        <w:t xml:space="preserve"> you may complain to the </w:t>
      </w:r>
      <w:r>
        <w:rPr>
          <w:b/>
        </w:rPr>
        <w:t>Data Protection Board of India (DPBI)</w:t>
      </w:r>
      <w:r>
        <w:t xml:space="preserve"> after raising your grievance with us.</w:t>
      </w:r>
    </w:p>
    <w:p>
      <w:pPr>
        <w:pStyle w:val="ListBullet"/>
      </w:pPr>
      <w:r>
        <w:rPr>
          <w:b/>
        </w:rPr>
        <w:t>EU/EEA:</w:t>
      </w:r>
      <w:r>
        <w:t xml:space="preserve"> you may complain to your local </w:t>
      </w:r>
      <w:r>
        <w:rPr>
          <w:b/>
        </w:rPr>
        <w:t>Data Protection Authority</w:t>
      </w:r>
      <w:r>
        <w:t xml:space="preserve"> (e.g. your country's supervisory authority). </w:t>
      </w:r>
      <w:r>
        <w:rPr>
          <w:b/>
        </w:rPr>
        <w:t>UK:</w:t>
      </w:r>
      <w:r>
        <w:t xml:space="preserve"> the </w:t>
      </w:r>
      <w:r>
        <w:rPr>
          <w:b/>
        </w:rPr>
        <w:t>Information Commissioner's Office (ICO)</w:t>
      </w:r>
      <w:r>
        <w:t>.</w:t>
      </w:r>
    </w:p>
    <w:p>
      <w:pPr>
        <w:pStyle w:val="Heading1"/>
      </w:pPr>
      <w:r>
        <w:t>16. Changes to this Policy</w:t>
      </w:r>
    </w:p>
    <w:p>
      <w:r>
        <w:t>We may update this Policy. We will post the new version with an updated "Last updated" date and, for material changes affecting consent (e.g. new processing or new categories of data), we will seek your fresh consent or provide prominent notice. The version in force when you use the Services applies.</w:t>
      </w:r>
    </w:p>
    <w:p>
      <w:r>
        <w:rPr>
          <w:i/>
        </w:rPr>
        <w:t>This document is a template and does not constitute legal advice. It must be reviewed and approved by qualified EU and Indian data-protection counsel, and all placeholders completed and verified against the platform's actual data flows, before publication.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