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6"/>
        </w:rPr>
        <w:t>Cardinality Before Contention: A Factorial Decomposition of Per-Command Observability Overhead in a Concurrent In-Memory Key-Value Store</w:t>
      </w:r>
    </w:p>
    <w:p>
      <w:pPr>
        <w:jc w:val="both"/>
      </w:pPr>
      <w:r>
        <w:rPr>
          <w:rFonts w:ascii="Times New Roman" w:hAnsi="Times New Roman"/>
          <w:b/>
          <w:i w:val="0"/>
          <w:sz w:val="21"/>
        </w:rPr>
        <w:t>Saksham Kapoor</w:t>
      </w:r>
      <w:r>
        <w:rPr>
          <w:rFonts w:ascii="Times New Roman" w:hAnsi="Times New Roman"/>
          <w:b w:val="0"/>
          <w:i w:val="0"/>
          <w:sz w:val="21"/>
        </w:rPr>
        <w:t xml:space="preserve"> Delhi, India </w:t>
      </w:r>
      <w:r>
        <w:rPr>
          <w:rFonts w:ascii="Consolas" w:hAnsi="Consolas"/>
          <w:b w:val="0"/>
          <w:i w:val="0"/>
          <w:color w:val="8B1A1A"/>
          <w:sz w:val="17"/>
        </w:rPr>
        <w:t>sakshamkapoor810@gmail.com</w:t>
      </w:r>
    </w:p>
    <w:p>
      <w:pPr>
        <w:ind w:left="432" w:right="432"/>
        <w:jc w:val="both"/>
      </w:pPr>
      <w:r>
        <w:rPr>
          <w:rFonts w:ascii="Times New Roman" w:hAnsi="Times New Roman"/>
          <w:b w:val="0"/>
          <w:i/>
          <w:sz w:val="21"/>
        </w:rPr>
        <w:t xml:space="preserve">Manuscript prepared for a performance-engineering venue (e.g. ACM/SPEC ICPE, Empirical Software Engineering, or Performance Evaluation). Reference style, section numbering, and length are to be converted to the target venue's template at submission; the content below is venue-neutral. Every table, figure, and quoted statistic regenerates from committed artifacts via </w:t>
      </w:r>
      <w:r>
        <w:rPr>
          <w:rFonts w:ascii="Consolas" w:hAnsi="Consolas"/>
          <w:b w:val="0"/>
          <w:i/>
          <w:color w:val="8B1A1A"/>
          <w:sz w:val="17"/>
        </w:rPr>
        <w:t>scripts/analyze_design_axes.py</w:t>
      </w:r>
      <w:r>
        <w:rPr>
          <w:rFonts w:ascii="Times New Roman" w:hAnsi="Times New Roman"/>
          <w:b w:val="0"/>
          <w:i/>
          <w:sz w:val="21"/>
        </w:rPr>
        <w:t xml:space="preserve"> and </w:t>
      </w:r>
      <w:r>
        <w:rPr>
          <w:rFonts w:ascii="Consolas" w:hAnsi="Consolas"/>
          <w:b w:val="0"/>
          <w:i/>
          <w:color w:val="8B1A1A"/>
          <w:sz w:val="17"/>
        </w:rPr>
        <w:t>scripts/generate_design_axes_figures.py</w:t>
      </w:r>
      <w:r>
        <w:rPr>
          <w:rFonts w:ascii="Times New Roman" w:hAnsi="Times New Roman"/>
          <w:b w:val="0"/>
          <w:i/>
          <w:sz w:val="21"/>
        </w:rPr>
        <w:t xml:space="preserve"> (Appendix A).</w:t>
      </w:r>
    </w:p>
    <w:p>
      <w:pPr>
        <w:spacing w:before="40" w:after="160"/>
        <w:pBdr>
          <w:bottom w:val="single" w:sz="6" w:space="1" w:color="AAAAAA"/>
        </w:pBdr>
      </w:pPr>
    </w:p>
    <w:p>
      <w:pPr>
        <w:pStyle w:val="Heading1"/>
      </w:pPr>
      <w:r>
        <w:rPr>
          <w:rFonts w:ascii="Times New Roman" w:hAnsi="Times New Roman"/>
          <w:b/>
          <w:i w:val="0"/>
          <w:color w:val="000000"/>
          <w:sz w:val="32"/>
        </w:rPr>
        <w:t>Abstract</w:t>
      </w:r>
    </w:p>
    <w:p>
      <w:pPr>
        <w:jc w:val="both"/>
      </w:pPr>
      <w:r>
        <w:rPr>
          <w:rFonts w:ascii="Times New Roman" w:hAnsi="Times New Roman"/>
          <w:b w:val="0"/>
          <w:i w:val="0"/>
          <w:sz w:val="21"/>
        </w:rPr>
        <w:t xml:space="preserve">Engineering folklore treats the cost of per-operation telemetry as a synchronization problem: the advice is to replace the global counter lock with a sharded or lock-free structure. We show that on a network-bound, thread-pool concurrent server this advice optimizes the smaller of two costs. We instrument a Rust Redis-compatible in-memory key-value store with six interchangeable per-command metrics collectors chosen so that adjacent pairs differ along exactly one design axis — synchronization discipline, metric key cardinality, aggregation locality, and per-sample payload — turning a strategy comparison into a factorial decomposition. Measurements use Randomized Multiple Interleaved Trials, repeated as eleven independent runs across five separately provisioned Azure </w:t>
      </w:r>
      <w:r>
        <w:rPr>
          <w:rFonts w:ascii="Consolas" w:hAnsi="Consolas"/>
          <w:b w:val="0"/>
          <w:i w:val="0"/>
          <w:color w:val="8B1A1A"/>
          <w:sz w:val="17"/>
        </w:rPr>
        <w:t>Standard_D8s_v6</w:t>
      </w:r>
      <w:r>
        <w:rPr>
          <w:rFonts w:ascii="Times New Roman" w:hAnsi="Times New Roman"/>
          <w:b w:val="0"/>
          <w:i w:val="0"/>
          <w:sz w:val="21"/>
        </w:rPr>
        <w:t xml:space="preserve"> VMs in three regions, plus one </w:t>
      </w:r>
      <w:r>
        <w:rPr>
          <w:rFonts w:ascii="Consolas" w:hAnsi="Consolas"/>
          <w:b w:val="0"/>
          <w:i w:val="0"/>
          <w:color w:val="8B1A1A"/>
          <w:sz w:val="17"/>
        </w:rPr>
        <w:t>Standard_D4s_v6</w:t>
      </w:r>
      <w:r>
        <w:rPr>
          <w:rFonts w:ascii="Times New Roman" w:hAnsi="Times New Roman"/>
          <w:b w:val="0"/>
          <w:i w:val="0"/>
          <w:sz w:val="21"/>
        </w:rPr>
        <w:t xml:space="preserve"> VM (25,200 benchmark runs; 100–3000 concurrent clients; three read/write mixes), with all confidence intervals clustered on the independent runs rather than on the correlated blocks they contain. A second, dedicated eight-VM experiment (4,320 further runs) separates the two axes that the main design bundles, for 29,520 benchmark runs in all.</w:t>
      </w:r>
    </w:p>
    <w:p>
      <w:pPr>
        <w:jc w:val="both"/>
      </w:pPr>
      <w:r>
        <w:rPr>
          <w:rFonts w:ascii="Times New Roman" w:hAnsi="Times New Roman"/>
          <w:b w:val="0"/>
          <w:i w:val="0"/>
          <w:sz w:val="21"/>
        </w:rPr>
        <w:t xml:space="preserve">Four results follow. </w:t>
      </w:r>
      <w:r>
        <w:rPr>
          <w:rFonts w:ascii="Times New Roman" w:hAnsi="Times New Roman"/>
          <w:b/>
          <w:i w:val="0"/>
          <w:sz w:val="21"/>
        </w:rPr>
        <w:t>(1)</w:t>
      </w:r>
      <w:r>
        <w:rPr>
          <w:rFonts w:ascii="Times New Roman" w:hAnsi="Times New Roman"/>
          <w:b w:val="0"/>
          <w:i w:val="0"/>
          <w:sz w:val="21"/>
        </w:rPr>
        <w:t xml:space="preserve"> Moving the metric key from a 2-entry command-name label to a ~10,000-entry data-key label costs 0.87 pp of throughput, 1.66× more than the 0.52 pp that replacing a global mutex with a 64-way sharded concurrent map saves (difference 0.34 pp, 95% CI [0.19, 0.50], 10/11 runs, sign p = 0.012). The practical consequence is an inversion of the folklore: the sharded "scalable" map at high cardinality is </w:t>
      </w:r>
      <w:r>
        <w:rPr>
          <w:rFonts w:ascii="Times New Roman" w:hAnsi="Times New Roman"/>
          <w:b w:val="0"/>
          <w:i/>
          <w:sz w:val="21"/>
        </w:rPr>
        <w:t>measurably slower</w:t>
      </w:r>
      <w:r>
        <w:rPr>
          <w:rFonts w:ascii="Times New Roman" w:hAnsi="Times New Roman"/>
          <w:b w:val="0"/>
          <w:i w:val="0"/>
          <w:sz w:val="21"/>
        </w:rPr>
        <w:t xml:space="preserve"> than the single global lock at low cardinality. </w:t>
      </w:r>
      <w:r>
        <w:rPr>
          <w:rFonts w:ascii="Times New Roman" w:hAnsi="Times New Roman"/>
          <w:b/>
          <w:i w:val="0"/>
          <w:sz w:val="21"/>
        </w:rPr>
        <w:t>(2)</w:t>
      </w:r>
      <w:r>
        <w:rPr>
          <w:rFonts w:ascii="Times New Roman" w:hAnsi="Times New Roman"/>
          <w:b w:val="0"/>
          <w:i w:val="0"/>
          <w:sz w:val="21"/>
        </w:rPr>
        <w:t xml:space="preserve"> The axes obey different scaling laws. Over a 30× increase in client concurrency no axis shows a trend distinguishable from zero (largest slope 0.041 pp per doubling, CI spanning zero), even though the server is genuinely saturated (p99 rises from 0.76 ms to 78.9 ms). The synchronization axis instead tracks </w:t>
      </w:r>
      <w:r>
        <w:rPr>
          <w:rFonts w:ascii="Times New Roman" w:hAnsi="Times New Roman"/>
          <w:b w:val="0"/>
          <w:i/>
          <w:sz w:val="21"/>
        </w:rPr>
        <w:t>worker-thread</w:t>
      </w:r>
      <w:r>
        <w:rPr>
          <w:rFonts w:ascii="Times New Roman" w:hAnsi="Times New Roman"/>
          <w:b w:val="0"/>
          <w:i w:val="0"/>
          <w:sz w:val="21"/>
        </w:rPr>
        <w:t xml:space="preserve"> count, growing 2.6× from 4 to 8 workers while the cardinality and payload axes move −8% and −6%. Client load, the knob benchmarks usually turn, is the wrong one for exposing telemetry contention. </w:t>
      </w:r>
      <w:r>
        <w:rPr>
          <w:rFonts w:ascii="Times New Roman" w:hAnsi="Times New Roman"/>
          <w:b/>
          <w:i w:val="0"/>
          <w:sz w:val="21"/>
        </w:rPr>
        <w:t>(3)</w:t>
      </w:r>
      <w:r>
        <w:rPr>
          <w:rFonts w:ascii="Times New Roman" w:hAnsi="Times New Roman"/>
          <w:b w:val="0"/>
          <w:i w:val="0"/>
          <w:sz w:val="21"/>
        </w:rPr>
        <w:t xml:space="preserve"> Overhead is not one number: it has a </w:t>
      </w:r>
      <w:r>
        <w:rPr>
          <w:rFonts w:ascii="Times New Roman" w:hAnsi="Times New Roman"/>
          <w:b w:val="0"/>
          <w:i/>
          <w:sz w:val="21"/>
        </w:rPr>
        <w:t>rigidity</w:t>
      </w:r>
      <w:r>
        <w:rPr>
          <w:rFonts w:ascii="Times New Roman" w:hAnsi="Times New Roman"/>
          <w:b w:val="0"/>
          <w:i w:val="0"/>
          <w:sz w:val="21"/>
        </w:rPr>
        <w:t xml:space="preserve"> that depends on the axis. Counter-based costs are elastic — absorbed by queueing slack, retaining only 38–58% of their median cost at p99 — whereas the histogram payload cost is rigid, statistically identical across throughput, mean, p50, and p99 (0.89–0.94 pp). This produces a rank inversion invisible to throughput-only evaluation: HdrHistogram versus GlobalMutex is unresolved on throughput (p = 0.23) yet resolves decisively in </w:t>
      </w:r>
      <w:r>
        <w:rPr>
          <w:rFonts w:ascii="Times New Roman" w:hAnsi="Times New Roman"/>
          <w:b w:val="0"/>
          <w:i/>
          <w:sz w:val="21"/>
        </w:rPr>
        <w:t>opposite directions</w:t>
      </w:r>
      <w:r>
        <w:rPr>
          <w:rFonts w:ascii="Times New Roman" w:hAnsi="Times New Roman"/>
          <w:b w:val="0"/>
          <w:i w:val="0"/>
          <w:sz w:val="21"/>
        </w:rPr>
        <w:t xml:space="preserve"> at p50 (cheaper, p = 0.001) and p99 (costlier, p = 0.001). </w:t>
      </w:r>
      <w:r>
        <w:rPr>
          <w:rFonts w:ascii="Times New Roman" w:hAnsi="Times New Roman"/>
          <w:b/>
          <w:i w:val="0"/>
          <w:sz w:val="21"/>
        </w:rPr>
        <w:t>(4)</w:t>
      </w:r>
      <w:r>
        <w:rPr>
          <w:rFonts w:ascii="Times New Roman" w:hAnsi="Times New Roman"/>
          <w:b w:val="0"/>
          <w:i w:val="0"/>
          <w:sz w:val="21"/>
        </w:rPr>
        <w:t xml:space="preserve"> A purpose-built instrument — a collector whose per-operation work is identical at every cardinality, so that sweeping it varies only the number of live map entries — confirms that the cardinality axis is genuinely cardinality rather than the per-operation key allocation bundled with it (entry count accounts for essentially all of it; the histogram likewise accounts for ~80% of the payload axis). The same experiment bounds the claim: the effect is indistinguishable from zero below roughly 10³ entries, and cardinality </w:t>
      </w:r>
      <w:r>
        <w:rPr>
          <w:rFonts w:ascii="Times New Roman" w:hAnsi="Times New Roman"/>
          <w:b w:val="0"/>
          <w:i/>
          <w:sz w:val="21"/>
        </w:rPr>
        <w:t>alone</w:t>
      </w:r>
      <w:r>
        <w:rPr>
          <w:rFonts w:ascii="Times New Roman" w:hAnsi="Times New Roman"/>
          <w:b w:val="0"/>
          <w:i w:val="0"/>
          <w:sz w:val="21"/>
        </w:rPr>
        <w:t xml:space="preserve"> does not statistically outrank the synchronization axis, so we make the package claim in (1) and not the stronger one.</w:t>
      </w:r>
    </w:p>
    <w:p>
      <w:pPr>
        <w:jc w:val="both"/>
      </w:pPr>
      <w:r>
        <w:rPr>
          <w:rFonts w:ascii="Times New Roman" w:hAnsi="Times New Roman"/>
          <w:b w:val="0"/>
          <w:i w:val="0"/>
          <w:sz w:val="21"/>
        </w:rPr>
        <w:t>We argue that observability overhead should be budgeted per design axis and per target percentile, not as a single headline percentage, and we give the measurement design needed to do so.</w:t>
      </w:r>
    </w:p>
    <w:p>
      <w:pPr>
        <w:jc w:val="both"/>
      </w:pPr>
      <w:r>
        <w:rPr>
          <w:rFonts w:ascii="Times New Roman" w:hAnsi="Times New Roman"/>
          <w:b/>
          <w:i w:val="0"/>
          <w:sz w:val="21"/>
        </w:rPr>
        <w:t>Keywords:</w:t>
      </w:r>
      <w:r>
        <w:rPr>
          <w:rFonts w:ascii="Times New Roman" w:hAnsi="Times New Roman"/>
          <w:b w:val="0"/>
          <w:i w:val="0"/>
          <w:sz w:val="21"/>
        </w:rPr>
        <w:t xml:space="preserve"> performance measurement, observability, instrumentation overhead, metric cardinality, tail latency, concurrency, key-value stores, randomized interleaved trials, cloud benchmarking</w:t>
      </w:r>
    </w:p>
    <w:p>
      <w:pPr>
        <w:jc w:val="both"/>
      </w:pPr>
      <w:r>
        <w:rPr>
          <w:rFonts w:ascii="Times New Roman" w:hAnsi="Times New Roman"/>
          <w:b/>
          <w:i w:val="0"/>
          <w:sz w:val="21"/>
        </w:rPr>
        <w:t>CCS Concepts:</w:t>
      </w:r>
      <w:r>
        <w:rPr>
          <w:rFonts w:ascii="Times New Roman" w:hAnsi="Times New Roman"/>
          <w:b w:val="0"/>
          <w:i w:val="0"/>
          <w:sz w:val="21"/>
        </w:rPr>
        <w:t xml:space="preserve"> • </w:t>
      </w:r>
      <w:r>
        <w:rPr>
          <w:rFonts w:ascii="Times New Roman" w:hAnsi="Times New Roman"/>
          <w:b w:val="0"/>
          <w:i/>
          <w:sz w:val="21"/>
        </w:rPr>
        <w:t>General and reference</w:t>
      </w:r>
      <w:r>
        <w:rPr>
          <w:rFonts w:ascii="Times New Roman" w:hAnsi="Times New Roman"/>
          <w:b w:val="0"/>
          <w:i w:val="0"/>
          <w:sz w:val="21"/>
        </w:rPr>
        <w:t xml:space="preserve"> → </w:t>
      </w:r>
      <w:r>
        <w:rPr>
          <w:rFonts w:ascii="Times New Roman" w:hAnsi="Times New Roman"/>
          <w:b w:val="0"/>
          <w:i/>
          <w:sz w:val="21"/>
        </w:rPr>
        <w:t>Measurement; Performance</w:t>
      </w:r>
      <w:r>
        <w:rPr>
          <w:rFonts w:ascii="Times New Roman" w:hAnsi="Times New Roman"/>
          <w:b w:val="0"/>
          <w:i w:val="0"/>
          <w:sz w:val="21"/>
        </w:rPr>
        <w:t xml:space="preserve">; • </w:t>
      </w:r>
      <w:r>
        <w:rPr>
          <w:rFonts w:ascii="Times New Roman" w:hAnsi="Times New Roman"/>
          <w:b w:val="0"/>
          <w:i/>
          <w:sz w:val="21"/>
        </w:rPr>
        <w:t>Software and its engineering</w:t>
      </w:r>
      <w:r>
        <w:rPr>
          <w:rFonts w:ascii="Times New Roman" w:hAnsi="Times New Roman"/>
          <w:b w:val="0"/>
          <w:i w:val="0"/>
          <w:sz w:val="21"/>
        </w:rPr>
        <w:t xml:space="preserve"> → </w:t>
      </w:r>
      <w:r>
        <w:rPr>
          <w:rFonts w:ascii="Times New Roman" w:hAnsi="Times New Roman"/>
          <w:b w:val="0"/>
          <w:i/>
          <w:sz w:val="21"/>
        </w:rPr>
        <w:t>Software performance</w:t>
      </w:r>
      <w:r>
        <w:rPr>
          <w:rFonts w:ascii="Times New Roman" w:hAnsi="Times New Roman"/>
          <w:b w:val="0"/>
          <w:i w:val="0"/>
          <w:sz w:val="21"/>
        </w:rPr>
        <w:t xml:space="preserve">; • </w:t>
      </w:r>
      <w:r>
        <w:rPr>
          <w:rFonts w:ascii="Times New Roman" w:hAnsi="Times New Roman"/>
          <w:b w:val="0"/>
          <w:i/>
          <w:sz w:val="21"/>
        </w:rPr>
        <w:t>Information systems</w:t>
      </w:r>
      <w:r>
        <w:rPr>
          <w:rFonts w:ascii="Times New Roman" w:hAnsi="Times New Roman"/>
          <w:b w:val="0"/>
          <w:i w:val="0"/>
          <w:sz w:val="21"/>
        </w:rPr>
        <w:t xml:space="preserve"> → </w:t>
      </w:r>
      <w:r>
        <w:rPr>
          <w:rFonts w:ascii="Times New Roman" w:hAnsi="Times New Roman"/>
          <w:b w:val="0"/>
          <w:i/>
          <w:sz w:val="21"/>
        </w:rPr>
        <w:t>Key-value stores</w:t>
      </w:r>
      <w:r>
        <w:rPr>
          <w:rFonts w:ascii="Times New Roman" w:hAnsi="Times New Roman"/>
          <w:b w:val="0"/>
          <w:i w:val="0"/>
          <w:sz w:val="21"/>
        </w:rPr>
        <w:t>.</w:t>
      </w:r>
    </w:p>
    <w:p>
      <w:pPr>
        <w:spacing w:before="40" w:after="160"/>
        <w:pBdr>
          <w:bottom w:val="single" w:sz="6" w:space="1" w:color="AAAAAA"/>
        </w:pBdr>
      </w:pPr>
    </w:p>
    <w:p>
      <w:pPr>
        <w:pStyle w:val="Heading1"/>
      </w:pPr>
      <w:r>
        <w:rPr>
          <w:rFonts w:ascii="Times New Roman" w:hAnsi="Times New Roman"/>
          <w:b/>
          <w:i w:val="0"/>
          <w:color w:val="000000"/>
          <w:sz w:val="32"/>
        </w:rPr>
        <w:t>1. Introduction</w:t>
      </w:r>
    </w:p>
    <w:p>
      <w:pPr>
        <w:jc w:val="both"/>
      </w:pPr>
      <w:r>
        <w:rPr>
          <w:rFonts w:ascii="Times New Roman" w:hAnsi="Times New Roman"/>
          <w:b w:val="0"/>
          <w:i w:val="0"/>
          <w:sz w:val="21"/>
        </w:rPr>
        <w:t xml:space="preserve">Every production server carries telemetry, and every telemetry design makes a choice about how counters are stored and updated on the request path. The received wisdom about that choice is remarkably uniform. Practitioner guidance converges on "keep the hot path lock-free": hold a per-metric atomic handle, shard the counter map, or accumulate per-thread and merge later. The implicit model is that instrumentation overhead is </w:t>
      </w:r>
      <w:r>
        <w:rPr>
          <w:rFonts w:ascii="Times New Roman" w:hAnsi="Times New Roman"/>
          <w:b w:val="0"/>
          <w:i/>
          <w:sz w:val="21"/>
        </w:rPr>
        <w:t>contention</w:t>
      </w:r>
      <w:r>
        <w:rPr>
          <w:rFonts w:ascii="Times New Roman" w:hAnsi="Times New Roman"/>
          <w:b w:val="0"/>
          <w:i w:val="0"/>
          <w:sz w:val="21"/>
        </w:rPr>
        <w:t xml:space="preserve"> overhead, and that contention grows with load.</w:t>
      </w:r>
    </w:p>
    <w:p>
      <w:pPr>
        <w:jc w:val="both"/>
      </w:pPr>
      <w:r>
        <w:rPr>
          <w:rFonts w:ascii="Times New Roman" w:hAnsi="Times New Roman"/>
          <w:b w:val="0"/>
          <w:i w:val="0"/>
          <w:sz w:val="21"/>
        </w:rPr>
        <w:t>This paper tests that model and finds it misleading in two separate ways on a class of system where it is routinely applied: a single-process, network-bound, thread-pool concurrent in-memory key-value store.</w:t>
      </w:r>
    </w:p>
    <w:p>
      <w:pPr>
        <w:jc w:val="both"/>
      </w:pPr>
      <w:r>
        <w:rPr>
          <w:rFonts w:ascii="Times New Roman" w:hAnsi="Times New Roman"/>
          <w:b w:val="0"/>
          <w:i w:val="0"/>
          <w:sz w:val="21"/>
        </w:rPr>
        <w:t xml:space="preserve">The difficulty in testing it is that "which metrics strategy is fastest" is the wrong question, because a strategy is a bundle of decisions. A thread-local histogram collector differs from a global-mutex counter in </w:t>
      </w:r>
      <w:r>
        <w:rPr>
          <w:rFonts w:ascii="Times New Roman" w:hAnsi="Times New Roman"/>
          <w:b w:val="0"/>
          <w:i/>
          <w:sz w:val="21"/>
        </w:rPr>
        <w:t>at least</w:t>
      </w:r>
      <w:r>
        <w:rPr>
          <w:rFonts w:ascii="Times New Roman" w:hAnsi="Times New Roman"/>
          <w:b w:val="0"/>
          <w:i w:val="0"/>
          <w:sz w:val="21"/>
        </w:rPr>
        <w:t xml:space="preserve"> four ways at once — where the synchronization happens, how many distinct counter entries exist, whether aggregation is eager or deferred, and how much work each sample costs — so a ranking of strategies tells an engineer nothing about which of those decisions to revisit. We therefore choose the six collectors so that adjacent pairs differ along exactly one axis, which converts a strategy comparison into a factorial decomposition and lets each axis be priced separately (§3).</w:t>
      </w:r>
    </w:p>
    <w:p>
      <w:pPr>
        <w:jc w:val="both"/>
      </w:pPr>
      <w:r>
        <w:rPr>
          <w:rFonts w:ascii="Times New Roman" w:hAnsi="Times New Roman"/>
          <w:b w:val="0"/>
          <w:i w:val="0"/>
          <w:sz w:val="21"/>
        </w:rPr>
        <w:t xml:space="preserve">Pricing them separately is what produces the paper's main result. The axis practitioners are told to optimize — synchronization discipline — is worth 0.52 percentage points of throughput on 8 worker threads. The axis they are told to worry about only for </w:t>
      </w:r>
      <w:r>
        <w:rPr>
          <w:rFonts w:ascii="Times New Roman" w:hAnsi="Times New Roman"/>
          <w:b w:val="0"/>
          <w:i/>
          <w:sz w:val="21"/>
        </w:rPr>
        <w:t>storage</w:t>
      </w:r>
      <w:r>
        <w:rPr>
          <w:rFonts w:ascii="Times New Roman" w:hAnsi="Times New Roman"/>
          <w:b w:val="0"/>
          <w:i w:val="0"/>
          <w:sz w:val="21"/>
        </w:rPr>
        <w:t xml:space="preserve"> cost — metric key cardinality — is worth 0.87 pp, 1.66× more. Because those two numbers are differences against a common reference, their gap is algebraically identical to the direct comparison between the two strategies: a 64-way sharded concurrent map keyed by a high-cardinality label is 0.34 pp </w:t>
      </w:r>
      <w:r>
        <w:rPr>
          <w:rFonts w:ascii="Times New Roman" w:hAnsi="Times New Roman"/>
          <w:b w:val="0"/>
          <w:i/>
          <w:sz w:val="21"/>
        </w:rPr>
        <w:t>slower</w:t>
      </w:r>
      <w:r>
        <w:rPr>
          <w:rFonts w:ascii="Times New Roman" w:hAnsi="Times New Roman"/>
          <w:b w:val="0"/>
          <w:i w:val="0"/>
          <w:sz w:val="21"/>
        </w:rPr>
        <w:t xml:space="preserve"> than a single global mutex keyed by a low-cardinality one. Replacing the lock while leaving the label alone is a net loss.</w:t>
      </w:r>
    </w:p>
    <w:p>
      <w:pPr>
        <w:jc w:val="both"/>
      </w:pPr>
      <w:r>
        <w:rPr>
          <w:rFonts w:ascii="Times New Roman" w:hAnsi="Times New Roman"/>
          <w:b w:val="0"/>
          <w:i w:val="0"/>
          <w:sz w:val="21"/>
        </w:rPr>
        <w:t xml:space="preserve">High metric cardinality is a well-known problem, but the literature and the practitioner writing we surveyed frame it almost exclusively as a </w:t>
      </w:r>
      <w:r>
        <w:rPr>
          <w:rFonts w:ascii="Times New Roman" w:hAnsi="Times New Roman"/>
          <w:b w:val="0"/>
          <w:i/>
          <w:sz w:val="21"/>
        </w:rPr>
        <w:t>backend</w:t>
      </w:r>
      <w:r>
        <w:rPr>
          <w:rFonts w:ascii="Times New Roman" w:hAnsi="Times New Roman"/>
          <w:b w:val="0"/>
          <w:i w:val="0"/>
          <w:sz w:val="21"/>
        </w:rPr>
        <w:t xml:space="preserve"> cost — time-series database memory, index size, query CPU, and per-series billing. We found no controlled measurement of cardinality as a </w:t>
      </w:r>
      <w:r>
        <w:rPr>
          <w:rFonts w:ascii="Times New Roman" w:hAnsi="Times New Roman"/>
          <w:b w:val="0"/>
          <w:i/>
          <w:sz w:val="21"/>
        </w:rPr>
        <w:t>server-side request-path throughput</w:t>
      </w:r>
      <w:r>
        <w:rPr>
          <w:rFonts w:ascii="Times New Roman" w:hAnsi="Times New Roman"/>
          <w:b w:val="0"/>
          <w:i w:val="0"/>
          <w:sz w:val="21"/>
        </w:rPr>
        <w:t xml:space="preserve"> cost, and none comparing it head-to-head against the synchronization cost that the same audience is told to prioritize.</w:t>
      </w:r>
    </w:p>
    <w:p>
      <w:pPr>
        <w:jc w:val="both"/>
      </w:pPr>
      <w:r>
        <w:rPr>
          <w:rFonts w:ascii="Times New Roman" w:hAnsi="Times New Roman"/>
          <w:b w:val="0"/>
          <w:i w:val="0"/>
          <w:sz w:val="21"/>
        </w:rPr>
        <w:t xml:space="preserve">Two further results follow from the same design. Neither the cardinality nor the payload axis responds to client concurrency at all over a 30× range, while the synchronization axis responds to </w:t>
      </w:r>
      <w:r>
        <w:rPr>
          <w:rFonts w:ascii="Times New Roman" w:hAnsi="Times New Roman"/>
          <w:b w:val="0"/>
          <w:i/>
          <w:sz w:val="21"/>
        </w:rPr>
        <w:t>worker-thread</w:t>
      </w:r>
      <w:r>
        <w:rPr>
          <w:rFonts w:ascii="Times New Roman" w:hAnsi="Times New Roman"/>
          <w:b w:val="0"/>
          <w:i w:val="0"/>
          <w:sz w:val="21"/>
        </w:rPr>
        <w:t xml:space="preserve"> count instead — so the standard practice of "turn up the client count until contention shows" cannot, even in principle, expose these costs on a thread-pool server, because the number of threads able to touch the counter structure is bounded by the pool, not by the client population (§5.2). And overhead turns out to have a </w:t>
      </w:r>
      <w:r>
        <w:rPr>
          <w:rFonts w:ascii="Times New Roman" w:hAnsi="Times New Roman"/>
          <w:b w:val="0"/>
          <w:i/>
          <w:sz w:val="21"/>
        </w:rPr>
        <w:t>rigidity</w:t>
      </w:r>
      <w:r>
        <w:rPr>
          <w:rFonts w:ascii="Times New Roman" w:hAnsi="Times New Roman"/>
          <w:b w:val="0"/>
          <w:i w:val="0"/>
          <w:sz w:val="21"/>
        </w:rPr>
        <w:t xml:space="preserve"> that differs by axis: most instrumentation cost is elastic and vanishes into queueing slack at the tail, but histogram-payload cost is rigid and arrives undiminished at p99, which inverts the cost ranking between percentiles and makes throughput-only evaluation actively misleading (§5.3).</w:t>
      </w:r>
    </w:p>
    <w:p>
      <w:pPr>
        <w:pStyle w:val="Heading2"/>
      </w:pPr>
      <w:r>
        <w:rPr>
          <w:rFonts w:ascii="Times New Roman" w:hAnsi="Times New Roman"/>
          <w:b/>
          <w:i w:val="0"/>
          <w:color w:val="000000"/>
          <w:sz w:val="26"/>
        </w:rPr>
        <w:t>1.1 Contributions</w:t>
      </w:r>
    </w:p>
    <w:p>
      <w:pPr>
        <w:pStyle w:val="ListNumber"/>
        <w:numPr>
          <w:ilvl w:val="0"/>
          <w:numId w:val="10"/>
        </w:numPr>
        <w:spacing w:after="80"/>
        <w:ind w:left="504"/>
      </w:pPr>
      <w:r>
        <w:rPr>
          <w:rFonts w:ascii="Times New Roman" w:hAnsi="Times New Roman"/>
          <w:b/>
          <w:i w:val="0"/>
          <w:sz w:val="21"/>
        </w:rPr>
        <w:t>A factorial decomposition of per-command observability overhead into four separately-priced design axes</w:t>
      </w:r>
      <w:r>
        <w:rPr>
          <w:rFonts w:ascii="Times New Roman" w:hAnsi="Times New Roman"/>
          <w:b w:val="0"/>
          <w:i w:val="0"/>
          <w:sz w:val="21"/>
        </w:rPr>
        <w:t xml:space="preserve"> (§3, §5.1), rather than a ranking of strategy bundles, with an explicit account of what each contrast does and does not isolate (§3.3).</w:t>
      </w:r>
    </w:p>
    <w:p>
      <w:pPr>
        <w:pStyle w:val="ListNumber"/>
        <w:numPr>
          <w:ilvl w:val="0"/>
          <w:numId w:val="10"/>
        </w:numPr>
        <w:spacing w:after="80"/>
        <w:ind w:left="504"/>
      </w:pPr>
      <w:r>
        <w:rPr>
          <w:rFonts w:ascii="Times New Roman" w:hAnsi="Times New Roman"/>
          <w:b/>
          <w:i w:val="0"/>
          <w:sz w:val="21"/>
        </w:rPr>
        <w:t>The cardinality-dominance result</w:t>
      </w:r>
      <w:r>
        <w:rPr>
          <w:rFonts w:ascii="Times New Roman" w:hAnsi="Times New Roman"/>
          <w:b w:val="0"/>
          <w:i w:val="0"/>
          <w:sz w:val="21"/>
        </w:rPr>
        <w:t xml:space="preserve"> (§5.1): high-cardinality dynamic labeling costs 1.66× what the entire global-lock-to-sharded-map transition saves, inverting the usual optimization priority, and reproducing on both VM sizes (4.5× at 4 workers, 1.66× at 8). A dedicated eight-VM experiment (§5.4) shows the effect is cardinality itself and not the key allocation bundled with it, and bounds where it applies: below ~10³ entries it is indistinguishable from zero.</w:t>
      </w:r>
    </w:p>
    <w:p>
      <w:pPr>
        <w:pStyle w:val="ListNumber"/>
        <w:numPr>
          <w:ilvl w:val="0"/>
          <w:numId w:val="10"/>
        </w:numPr>
        <w:spacing w:after="80"/>
        <w:ind w:left="504"/>
      </w:pPr>
      <w:r>
        <w:rPr>
          <w:rFonts w:ascii="Times New Roman" w:hAnsi="Times New Roman"/>
          <w:b/>
          <w:i w:val="0"/>
          <w:sz w:val="21"/>
        </w:rPr>
        <w:t>A scaling-law separation</w:t>
      </w:r>
      <w:r>
        <w:rPr>
          <w:rFonts w:ascii="Times New Roman" w:hAnsi="Times New Roman"/>
          <w:b w:val="0"/>
          <w:i w:val="0"/>
          <w:sz w:val="21"/>
        </w:rPr>
        <w:t xml:space="preserve"> (§5.2): telemetry axes are invariant to client concurrency over a 30× range on a saturated server, while the synchronization axis tracks worker-thread count — with the methodological consequence that client load is the wrong experimental knob.</w:t>
      </w:r>
    </w:p>
    <w:p>
      <w:pPr>
        <w:pStyle w:val="ListNumber"/>
        <w:numPr>
          <w:ilvl w:val="0"/>
          <w:numId w:val="10"/>
        </w:numPr>
        <w:spacing w:after="80"/>
        <w:ind w:left="504"/>
      </w:pPr>
      <w:r>
        <w:rPr>
          <w:rFonts w:ascii="Times New Roman" w:hAnsi="Times New Roman"/>
          <w:b/>
          <w:i w:val="0"/>
          <w:sz w:val="21"/>
        </w:rPr>
        <w:t>Overhead rigidity and the percentile-dependent rank inversion</w:t>
      </w:r>
      <w:r>
        <w:rPr>
          <w:rFonts w:ascii="Times New Roman" w:hAnsi="Times New Roman"/>
          <w:b w:val="0"/>
          <w:i w:val="0"/>
          <w:sz w:val="21"/>
        </w:rPr>
        <w:t xml:space="preserve"> (§5.3): a tail-concentration index separating elastic from rigid costs, and a demonstration that a comparison reported as statistically unresolved under a throughput budget resolves in opposite directions at p50 and p99.</w:t>
      </w:r>
    </w:p>
    <w:p>
      <w:pPr>
        <w:pStyle w:val="ListNumber"/>
        <w:numPr>
          <w:ilvl w:val="0"/>
          <w:numId w:val="10"/>
        </w:numPr>
        <w:spacing w:after="80"/>
        <w:ind w:left="504"/>
      </w:pPr>
      <w:r>
        <w:rPr>
          <w:rFonts w:ascii="Times New Roman" w:hAnsi="Times New Roman"/>
          <w:b/>
          <w:i w:val="0"/>
          <w:sz w:val="21"/>
        </w:rPr>
        <w:t>An instrument for pricing metric cardinality in isolation</w:t>
      </w:r>
      <w:r>
        <w:rPr>
          <w:rFonts w:ascii="Times New Roman" w:hAnsi="Times New Roman"/>
          <w:b w:val="0"/>
          <w:i w:val="0"/>
          <w:sz w:val="21"/>
        </w:rPr>
        <w:t xml:space="preserve"> (§5.4): a collector that holds per-operation work byte-for-byte constant while the live entry count sweeps 3.5 decades, which is a cleaner control than sweeping the workload key space (that would vary the request distribution too). It is reusable by anyone asking the same question of another system.</w:t>
      </w:r>
    </w:p>
    <w:p>
      <w:pPr>
        <w:pStyle w:val="ListNumber"/>
        <w:numPr>
          <w:ilvl w:val="0"/>
          <w:numId w:val="10"/>
        </w:numPr>
        <w:spacing w:after="80"/>
        <w:ind w:left="504"/>
      </w:pPr>
      <w:r>
        <w:rPr>
          <w:rFonts w:ascii="Times New Roman" w:hAnsi="Times New Roman"/>
          <w:b/>
          <w:i w:val="0"/>
          <w:sz w:val="21"/>
        </w:rPr>
        <w:t>A reproducible measurement design and artifact</w:t>
      </w:r>
      <w:r>
        <w:rPr>
          <w:rFonts w:ascii="Times New Roman" w:hAnsi="Times New Roman"/>
          <w:b w:val="0"/>
          <w:i w:val="0"/>
          <w:sz w:val="21"/>
        </w:rPr>
        <w:t xml:space="preserve"> (§4, Appendix A): 29,520 RMIT runs over fourteen cloud VMs, cluster-aware inference, and committed scripts that regenerate every number in the paper.</w:t>
      </w:r>
    </w:p>
    <w:p>
      <w:pPr>
        <w:spacing w:before="40" w:after="160"/>
        <w:pBdr>
          <w:bottom w:val="single" w:sz="6" w:space="1" w:color="AAAAAA"/>
        </w:pBdr>
      </w:pPr>
    </w:p>
    <w:p>
      <w:pPr>
        <w:pStyle w:val="Heading1"/>
      </w:pPr>
      <w:r>
        <w:rPr>
          <w:rFonts w:ascii="Times New Roman" w:hAnsi="Times New Roman"/>
          <w:b/>
          <w:i w:val="0"/>
          <w:color w:val="000000"/>
          <w:sz w:val="32"/>
        </w:rPr>
        <w:t>2. Background and Related Work</w:t>
      </w:r>
    </w:p>
    <w:p>
      <w:pPr>
        <w:jc w:val="both"/>
      </w:pPr>
      <w:r>
        <w:rPr>
          <w:rFonts w:ascii="Times New Roman" w:hAnsi="Times New Roman"/>
          <w:b/>
          <w:i w:val="0"/>
          <w:sz w:val="21"/>
        </w:rPr>
        <w:t>Instrumentation overhead.</w:t>
      </w:r>
      <w:r>
        <w:rPr>
          <w:rFonts w:ascii="Times New Roman" w:hAnsi="Times New Roman"/>
          <w:b w:val="0"/>
          <w:i w:val="0"/>
          <w:sz w:val="21"/>
        </w:rPr>
        <w:t xml:space="preserve"> That measurement perturbs what it measures is long established; Tallent et al. [18] show it specifically for lock-contention tooling, and production tracing systems bound their own cost by sampling precisely because it is not negligible [17]. Recent empirical work prices whole instrumentation </w:t>
      </w:r>
      <w:r>
        <w:rPr>
          <w:rFonts w:ascii="Times New Roman" w:hAnsi="Times New Roman"/>
          <w:b w:val="0"/>
          <w:i/>
          <w:sz w:val="21"/>
        </w:rPr>
        <w:t>frameworks</w:t>
      </w:r>
      <w:r>
        <w:rPr>
          <w:rFonts w:ascii="Times New Roman" w:hAnsi="Times New Roman"/>
          <w:b w:val="0"/>
          <w:i w:val="0"/>
          <w:sz w:val="21"/>
        </w:rPr>
        <w:t>: studies of OpenTelemetry and comparable agents report CPU overheads in the tens of percent and throughput losses up to roughly 8% in aggregate. These studies answer "what does turning on this framework cost?" They do not decompose that cost into the design decisions that produced it, which is the gap this paper addresses.</w:t>
      </w:r>
    </w:p>
    <w:p>
      <w:pPr>
        <w:jc w:val="both"/>
      </w:pPr>
      <w:r>
        <w:rPr>
          <w:rFonts w:ascii="Times New Roman" w:hAnsi="Times New Roman"/>
          <w:b/>
          <w:i w:val="0"/>
          <w:sz w:val="21"/>
        </w:rPr>
        <w:t>Metric cardinality.</w:t>
      </w:r>
      <w:r>
        <w:rPr>
          <w:rFonts w:ascii="Times New Roman" w:hAnsi="Times New Roman"/>
          <w:b w:val="0"/>
          <w:i w:val="0"/>
          <w:sz w:val="21"/>
        </w:rPr>
        <w:t xml:space="preserve"> Cardinality is one of the most discussed operational problems in modern monitoring, but essentially always as a </w:t>
      </w:r>
      <w:r>
        <w:rPr>
          <w:rFonts w:ascii="Times New Roman" w:hAnsi="Times New Roman"/>
          <w:b w:val="0"/>
          <w:i/>
          <w:sz w:val="21"/>
        </w:rPr>
        <w:t>storage-side</w:t>
      </w:r>
      <w:r>
        <w:rPr>
          <w:rFonts w:ascii="Times New Roman" w:hAnsi="Times New Roman"/>
          <w:b w:val="0"/>
          <w:i w:val="0"/>
          <w:sz w:val="21"/>
        </w:rPr>
        <w:t xml:space="preserve"> concern: each distinct label combination creates a time series with memory, disk, index, and billing cost. The remedy offered is bounded-cardinality labels, for backend reasons. The </w:t>
      </w:r>
      <w:r>
        <w:rPr>
          <w:rFonts w:ascii="Times New Roman" w:hAnsi="Times New Roman"/>
          <w:b w:val="0"/>
          <w:i/>
          <w:sz w:val="21"/>
        </w:rPr>
        <w:t>producer-side</w:t>
      </w:r>
      <w:r>
        <w:rPr>
          <w:rFonts w:ascii="Times New Roman" w:hAnsi="Times New Roman"/>
          <w:b w:val="0"/>
          <w:i w:val="0"/>
          <w:sz w:val="21"/>
        </w:rPr>
        <w:t xml:space="preserve"> request-path cost of a high-cardinality label — the extra work the server itself does per operation — is, to our knowledge, not measured in a controlled setting, and never compared against the synchronization cost it is traded against in practice.</w:t>
      </w:r>
    </w:p>
    <w:p>
      <w:pPr>
        <w:jc w:val="both"/>
      </w:pPr>
      <w:r>
        <w:rPr>
          <w:rFonts w:ascii="Times New Roman" w:hAnsi="Times New Roman"/>
          <w:b/>
          <w:i w:val="0"/>
          <w:sz w:val="21"/>
        </w:rPr>
        <w:t>Concurrent counting.</w:t>
      </w:r>
      <w:r>
        <w:rPr>
          <w:rFonts w:ascii="Times New Roman" w:hAnsi="Times New Roman"/>
          <w:b w:val="0"/>
          <w:i w:val="0"/>
          <w:sz w:val="21"/>
        </w:rPr>
        <w:t xml:space="preserve"> The structures we compare descend from a long line of work on reducing counter contention: counting networks [3], the per-core "sloppy counters" that removed kernel counter bottlenecks in Linux [4], and the general replacement of coarse locks with concurrency-friendly structures that lifted Memcached throughput in MemC3 [9]. David et al. [8] establish that synchronization cost is strongly hardware-dependent, which is the premise behind our worker-count comparison in §5.2. This literature is the source of the folklore we test: it is correct that sharded and per-thread counting reduce contention, and our SYNC axis confirms it. The finding here is about </w:t>
      </w:r>
      <w:r>
        <w:rPr>
          <w:rFonts w:ascii="Times New Roman" w:hAnsi="Times New Roman"/>
          <w:b w:val="0"/>
          <w:i/>
          <w:sz w:val="21"/>
        </w:rPr>
        <w:t>relative magnitude</w:t>
      </w:r>
      <w:r>
        <w:rPr>
          <w:rFonts w:ascii="Times New Roman" w:hAnsi="Times New Roman"/>
          <w:b w:val="0"/>
          <w:i w:val="0"/>
          <w:sz w:val="21"/>
        </w:rPr>
        <w:t xml:space="preserve"> — that the contention saved is smaller than the cardinality cost typically incurred alongside it.</w:t>
      </w:r>
    </w:p>
    <w:p>
      <w:pPr>
        <w:jc w:val="both"/>
      </w:pPr>
      <w:r>
        <w:rPr>
          <w:rFonts w:ascii="Times New Roman" w:hAnsi="Times New Roman"/>
          <w:b/>
          <w:i w:val="0"/>
          <w:sz w:val="21"/>
        </w:rPr>
        <w:t>Benchmarking methodology.</w:t>
      </w:r>
      <w:r>
        <w:rPr>
          <w:rFonts w:ascii="Times New Roman" w:hAnsi="Times New Roman"/>
          <w:b w:val="0"/>
          <w:i w:val="0"/>
          <w:sz w:val="21"/>
        </w:rPr>
        <w:t xml:space="preserve"> Measured performance depends on setup details experimenters rarely control [15], so rigorous practice reports intervals over repeated runs [11, 12] and randomizes factors that should not matter [7]. Cloud environments add time-varying noise in compute [14] and network [20]. Randomized Multiple Interleaved Trials (RMIT) was introduced by Abedi, Heard and Brecht [2] and shown necessary in clouds by Abedi and Brecht [1], who found differences up to 37.8% between two </w:t>
      </w:r>
      <w:r>
        <w:rPr>
          <w:rFonts w:ascii="Times New Roman" w:hAnsi="Times New Roman"/>
          <w:b w:val="0"/>
          <w:i/>
          <w:sz w:val="21"/>
        </w:rPr>
        <w:t>identical</w:t>
      </w:r>
      <w:r>
        <w:rPr>
          <w:rFonts w:ascii="Times New Roman" w:hAnsi="Times New Roman"/>
          <w:b w:val="0"/>
          <w:i w:val="0"/>
          <w:sz w:val="21"/>
        </w:rPr>
        <w:t xml:space="preserve"> systems under non-randomized designs. Duet benchmarking [5] instead runs artifacts simultaneously, which does not suit a saturating client-server benchmark where two server instances would contend. Laaber et al. [13] combine RMIT-style sampling, bootstrap intervals, A/A tests, and injected-slowdown detectability analysis for cloud microbenchmarks, and explicitly disclaim load and stress tests. We adopt RMIT and their inferential posture; the technique is theirs, not ours. Our methodological addition is narrower and specific to pooled replicates: inference clustered on independent VM runs rather than on the correlated blocks within them (§4.3). For key-value systems YCSB [6] is the standard suite and Reniers et al. [16] survey under-reporting in NoSQL benchmarking; Fruth et al. [10] show harnesses themselves distorting measured tail latency, which is part of why §5.3 reports tail results as </w:t>
      </w:r>
      <w:r>
        <w:rPr>
          <w:rFonts w:ascii="Times New Roman" w:hAnsi="Times New Roman"/>
          <w:b w:val="0"/>
          <w:i/>
          <w:sz w:val="21"/>
        </w:rPr>
        <w:t>relative</w:t>
      </w:r>
      <w:r>
        <w:rPr>
          <w:rFonts w:ascii="Times New Roman" w:hAnsi="Times New Roman"/>
          <w:b w:val="0"/>
          <w:i w:val="0"/>
          <w:sz w:val="21"/>
        </w:rPr>
        <w:t xml:space="preserve"> paired ratios against a baseline measured by the same harness.</w:t>
      </w:r>
    </w:p>
    <w:p>
      <w:pPr>
        <w:jc w:val="both"/>
      </w:pPr>
      <w:r>
        <w:rPr>
          <w:rFonts w:ascii="Times New Roman" w:hAnsi="Times New Roman"/>
          <w:b/>
          <w:i w:val="0"/>
          <w:sz w:val="21"/>
        </w:rPr>
        <w:t>Positioning.</w:t>
      </w:r>
      <w:r>
        <w:rPr>
          <w:rFonts w:ascii="Times New Roman" w:hAnsi="Times New Roman"/>
          <w:b w:val="0"/>
          <w:i w:val="0"/>
          <w:sz w:val="21"/>
        </w:rPr>
        <w:t xml:space="preserve"> RMIT, bootstrap intervals, and detectability analysis are prior art. What is new here is the factorial decomposition of telemetry overhead into separately-priced axes, the finding that the cardinality axis dominates the synchronization axis, the separation of client-concurrency from worker-count scaling, and the percentile-dependent rigidity result.</w:t>
      </w:r>
    </w:p>
    <w:p>
      <w:pPr>
        <w:spacing w:before="40" w:after="160"/>
        <w:pBdr>
          <w:bottom w:val="single" w:sz="6" w:space="1" w:color="AAAAAA"/>
        </w:pBdr>
      </w:pPr>
    </w:p>
    <w:p>
      <w:pPr>
        <w:pStyle w:val="Heading1"/>
      </w:pPr>
      <w:r>
        <w:rPr>
          <w:rFonts w:ascii="Times New Roman" w:hAnsi="Times New Roman"/>
          <w:b/>
          <w:i w:val="0"/>
          <w:color w:val="000000"/>
          <w:sz w:val="32"/>
        </w:rPr>
        <w:t>3. System Under Study and the Factorial Design</w:t>
      </w:r>
    </w:p>
    <w:p>
      <w:pPr>
        <w:pStyle w:val="Heading2"/>
      </w:pPr>
      <w:r>
        <w:rPr>
          <w:rFonts w:ascii="Times New Roman" w:hAnsi="Times New Roman"/>
          <w:b/>
          <w:i w:val="0"/>
          <w:color w:val="000000"/>
          <w:sz w:val="26"/>
        </w:rPr>
        <w:t>3.1 The server</w:t>
      </w:r>
    </w:p>
    <w:p>
      <w:pPr>
        <w:jc w:val="both"/>
      </w:pPr>
      <w:r>
        <w:rPr>
          <w:rFonts w:ascii="Times New Roman" w:hAnsi="Times New Roman"/>
          <w:b w:val="0"/>
          <w:i w:val="0"/>
          <w:sz w:val="21"/>
        </w:rPr>
        <w:t xml:space="preserve">RustRedis is a Redis-compatible in-memory key-value server in Rust (~3,500 LOC). A Tokio multi-threaded runtime accepts TCP connections, one task per connection; tasks parse RESP frames and execute against shared state. The runtime is configured with </w:t>
      </w:r>
      <w:r>
        <w:rPr>
          <w:rFonts w:ascii="Consolas" w:hAnsi="Consolas"/>
          <w:b w:val="0"/>
          <w:i w:val="0"/>
          <w:color w:val="8B1A1A"/>
          <w:sz w:val="17"/>
        </w:rPr>
        <w:t>flavor = "multi_thread"</w:t>
      </w:r>
      <w:r>
        <w:rPr>
          <w:rFonts w:ascii="Times New Roman" w:hAnsi="Times New Roman"/>
          <w:b w:val="0"/>
          <w:i w:val="0"/>
          <w:sz w:val="21"/>
        </w:rPr>
        <w:t xml:space="preserve"> and default worker count, so </w:t>
      </w:r>
      <w:r>
        <w:rPr>
          <w:rFonts w:ascii="Times New Roman" w:hAnsi="Times New Roman"/>
          <w:b/>
          <w:i w:val="0"/>
          <w:sz w:val="21"/>
        </w:rPr>
        <w:t>the number of OS threads that can concurrently enter the metrics path equals the vCPU count</w:t>
      </w:r>
      <w:r>
        <w:rPr>
          <w:rFonts w:ascii="Times New Roman" w:hAnsi="Times New Roman"/>
          <w:b w:val="0"/>
          <w:i w:val="0"/>
          <w:sz w:val="21"/>
        </w:rPr>
        <w:t xml:space="preserve"> — 8 on </w:t>
      </w:r>
      <w:r>
        <w:rPr>
          <w:rFonts w:ascii="Consolas" w:hAnsi="Consolas"/>
          <w:b w:val="0"/>
          <w:i w:val="0"/>
          <w:color w:val="8B1A1A"/>
          <w:sz w:val="17"/>
        </w:rPr>
        <w:t>Standard_D8s_v6</w:t>
      </w:r>
      <w:r>
        <w:rPr>
          <w:rFonts w:ascii="Times New Roman" w:hAnsi="Times New Roman"/>
          <w:b w:val="0"/>
          <w:i w:val="0"/>
          <w:sz w:val="21"/>
        </w:rPr>
        <w:t xml:space="preserve">, 4 on </w:t>
      </w:r>
      <w:r>
        <w:rPr>
          <w:rFonts w:ascii="Consolas" w:hAnsi="Consolas"/>
          <w:b w:val="0"/>
          <w:i w:val="0"/>
          <w:color w:val="8B1A1A"/>
          <w:sz w:val="17"/>
        </w:rPr>
        <w:t>Standard_D4s_v6</w:t>
      </w:r>
      <w:r>
        <w:rPr>
          <w:rFonts w:ascii="Times New Roman" w:hAnsi="Times New Roman"/>
          <w:b w:val="0"/>
          <w:i w:val="0"/>
          <w:sz w:val="21"/>
        </w:rPr>
        <w:t xml:space="preserve"> — regardless of how many clients are connected. This property is what §5.2 exploits.</w:t>
      </w:r>
    </w:p>
    <w:p>
      <w:pPr>
        <w:jc w:val="both"/>
      </w:pPr>
      <w:r>
        <w:rPr>
          <w:rFonts w:ascii="Times New Roman" w:hAnsi="Times New Roman"/>
          <w:b w:val="0"/>
          <w:i w:val="0"/>
          <w:sz w:val="21"/>
        </w:rPr>
        <w:t>On every command the server records the command name, an optional borrowed key hint, and the execution duration, then calls the active collector. Crucially, the timing itself (</w:t>
      </w:r>
      <w:r>
        <w:rPr>
          <w:rFonts w:ascii="Consolas" w:hAnsi="Consolas"/>
          <w:b w:val="0"/>
          <w:i w:val="0"/>
          <w:color w:val="8B1A1A"/>
          <w:sz w:val="17"/>
        </w:rPr>
        <w:t>Instant::now()</w:t>
      </w:r>
      <w:r>
        <w:rPr>
          <w:rFonts w:ascii="Times New Roman" w:hAnsi="Times New Roman"/>
          <w:b w:val="0"/>
          <w:i w:val="0"/>
          <w:sz w:val="21"/>
        </w:rPr>
        <w:t xml:space="preserve">, </w:t>
      </w:r>
      <w:r>
        <w:rPr>
          <w:rFonts w:ascii="Consolas" w:hAnsi="Consolas"/>
          <w:b w:val="0"/>
          <w:i w:val="0"/>
          <w:color w:val="8B1A1A"/>
          <w:sz w:val="17"/>
        </w:rPr>
        <w:t>elapsed()</w:t>
      </w:r>
      <w:r>
        <w:rPr>
          <w:rFonts w:ascii="Times New Roman" w:hAnsi="Times New Roman"/>
          <w:b w:val="0"/>
          <w:i w:val="0"/>
          <w:sz w:val="21"/>
        </w:rPr>
        <w:t xml:space="preserve">) and the key-hint lookup run identically for </w:t>
      </w:r>
      <w:r>
        <w:rPr>
          <w:rFonts w:ascii="Times New Roman" w:hAnsi="Times New Roman"/>
          <w:b w:val="0"/>
          <w:i/>
          <w:sz w:val="21"/>
        </w:rPr>
        <w:t>all</w:t>
      </w:r>
      <w:r>
        <w:rPr>
          <w:rFonts w:ascii="Times New Roman" w:hAnsi="Times New Roman"/>
          <w:b w:val="0"/>
          <w:i w:val="0"/>
          <w:sz w:val="21"/>
        </w:rPr>
        <w:t xml:space="preserve"> strategies </w:t>
      </w:r>
      <w:r>
        <w:rPr>
          <w:rFonts w:ascii="Times New Roman" w:hAnsi="Times New Roman"/>
          <w:b/>
          <w:i w:val="0"/>
          <w:sz w:val="21"/>
        </w:rPr>
        <w:t xml:space="preserve">including the </w:t>
      </w:r>
      <w:r>
        <w:rPr>
          <w:rFonts w:ascii="Consolas" w:hAnsi="Consolas"/>
          <w:b/>
          <w:i w:val="0"/>
          <w:color w:val="8B1A1A"/>
          <w:sz w:val="17"/>
        </w:rPr>
        <w:t>disabled</w:t>
      </w:r>
      <w:r>
        <w:rPr>
          <w:rFonts w:ascii="Times New Roman" w:hAnsi="Times New Roman"/>
          <w:b/>
          <w:i w:val="0"/>
          <w:sz w:val="21"/>
        </w:rPr>
        <w:t xml:space="preserve"> baseline</w:t>
      </w:r>
      <w:r>
        <w:rPr>
          <w:rFonts w:ascii="Times New Roman" w:hAnsi="Times New Roman"/>
          <w:b w:val="0"/>
          <w:i w:val="0"/>
          <w:sz w:val="21"/>
        </w:rPr>
        <w:t xml:space="preserve">, so those costs cancel in the paired comparison. The only thing that varies is the body of </w:t>
      </w:r>
      <w:r>
        <w:rPr>
          <w:rFonts w:ascii="Consolas" w:hAnsi="Consolas"/>
          <w:b w:val="0"/>
          <w:i w:val="0"/>
          <w:color w:val="8B1A1A"/>
          <w:sz w:val="17"/>
        </w:rPr>
        <w:t>record()</w:t>
      </w:r>
      <w:r>
        <w:rPr>
          <w:rFonts w:ascii="Times New Roman" w:hAnsi="Times New Roman"/>
          <w:b w:val="0"/>
          <w:i w:val="0"/>
          <w:sz w:val="21"/>
        </w:rPr>
        <w:t>.</w:t>
      </w:r>
    </w:p>
    <w:p>
      <w:pPr>
        <w:pStyle w:val="Heading2"/>
      </w:pPr>
      <w:r>
        <w:rPr>
          <w:rFonts w:ascii="Times New Roman" w:hAnsi="Times New Roman"/>
          <w:b/>
          <w:i w:val="0"/>
          <w:color w:val="000000"/>
          <w:sz w:val="26"/>
        </w:rPr>
        <w:t>3.2 The six collectors as a factorial design</w:t>
      </w:r>
    </w:p>
    <w:p>
      <w:pPr>
        <w:jc w:val="both"/>
      </w:pPr>
      <w:r>
        <w:rPr>
          <w:rFonts w:ascii="Times New Roman" w:hAnsi="Times New Roman"/>
          <w:b w:val="0"/>
          <w:i w:val="0"/>
          <w:sz w:val="21"/>
        </w:rPr>
        <w:t>The collectors (</w:t>
      </w:r>
      <w:r>
        <w:rPr>
          <w:rFonts w:ascii="Consolas" w:hAnsi="Consolas"/>
          <w:b w:val="0"/>
          <w:i w:val="0"/>
          <w:color w:val="8B1A1A"/>
          <w:sz w:val="17"/>
        </w:rPr>
        <w:t>src/command_metrics.rs</w:t>
      </w:r>
      <w:r>
        <w:rPr>
          <w:rFonts w:ascii="Times New Roman" w:hAnsi="Times New Roman"/>
          <w:b w:val="0"/>
          <w:i w:val="0"/>
          <w:sz w:val="21"/>
        </w:rPr>
        <w:t>) are selected so that adjacent pairs differ along one axis: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254"/>
            <w:shd w:val="clear" w:color="auto" w:fill="E8E8E8"/>
          </w:tcPr>
          <w:p>
            <w:pPr>
              <w:spacing w:after="20" w:before="20"/>
              <w:jc w:val="left"/>
            </w:pPr>
            <w:r>
              <w:rPr>
                <w:rFonts w:ascii="Times New Roman" w:hAnsi="Times New Roman"/>
                <w:b/>
                <w:i w:val="0"/>
                <w:sz w:val="17"/>
              </w:rPr>
              <w:t>Strategy</w:t>
            </w:r>
          </w:p>
        </w:tc>
        <w:tc>
          <w:tcPr>
            <w:tcW w:type="dxa" w:w="3184"/>
            <w:shd w:val="clear" w:color="auto" w:fill="E8E8E8"/>
          </w:tcPr>
          <w:p>
            <w:pPr>
              <w:spacing w:after="20" w:before="20"/>
              <w:jc w:val="left"/>
            </w:pPr>
            <w:r>
              <w:rPr>
                <w:rFonts w:ascii="Times New Roman" w:hAnsi="Times New Roman"/>
                <w:b/>
                <w:i w:val="0"/>
                <w:sz w:val="17"/>
              </w:rPr>
              <w:t>Synchronization</w:t>
            </w:r>
          </w:p>
        </w:tc>
        <w:tc>
          <w:tcPr>
            <w:tcW w:type="dxa" w:w="1061"/>
            <w:shd w:val="clear" w:color="auto" w:fill="E8E8E8"/>
          </w:tcPr>
          <w:p>
            <w:pPr>
              <w:spacing w:after="20" w:before="20"/>
              <w:jc w:val="right"/>
            </w:pPr>
            <w:r>
              <w:rPr>
                <w:rFonts w:ascii="Times New Roman" w:hAnsi="Times New Roman"/>
                <w:b/>
                <w:i w:val="0"/>
                <w:sz w:val="17"/>
              </w:rPr>
              <w:t>Cardinality</w:t>
            </w:r>
          </w:p>
        </w:tc>
        <w:tc>
          <w:tcPr>
            <w:tcW w:type="dxa" w:w="1640"/>
            <w:shd w:val="clear" w:color="auto" w:fill="E8E8E8"/>
          </w:tcPr>
          <w:p>
            <w:pPr>
              <w:spacing w:after="20" w:before="20"/>
              <w:jc w:val="left"/>
            </w:pPr>
            <w:r>
              <w:rPr>
                <w:rFonts w:ascii="Times New Roman" w:hAnsi="Times New Roman"/>
                <w:b/>
                <w:i w:val="0"/>
                <w:sz w:val="17"/>
              </w:rPr>
              <w:t>Aggregation</w:t>
            </w:r>
          </w:p>
        </w:tc>
        <w:tc>
          <w:tcPr>
            <w:tcW w:type="dxa" w:w="2219"/>
            <w:shd w:val="clear" w:color="auto" w:fill="E8E8E8"/>
          </w:tcPr>
          <w:p>
            <w:pPr>
              <w:spacing w:after="20" w:before="20"/>
              <w:jc w:val="left"/>
            </w:pPr>
            <w:r>
              <w:rPr>
                <w:rFonts w:ascii="Times New Roman" w:hAnsi="Times New Roman"/>
                <w:b/>
                <w:i w:val="0"/>
                <w:sz w:val="17"/>
              </w:rPr>
              <w:t>Payload</w:t>
            </w:r>
          </w:p>
        </w:tc>
      </w:tr>
      <w:tr>
        <w:tc>
          <w:tcPr>
            <w:tcW w:type="dxa" w:w="1254"/>
          </w:tcPr>
          <w:p>
            <w:pPr>
              <w:spacing w:after="20" w:before="20"/>
              <w:jc w:val="left"/>
            </w:pPr>
            <w:r>
              <w:rPr>
                <w:rFonts w:ascii="Consolas" w:hAnsi="Consolas"/>
                <w:b w:val="0"/>
                <w:i w:val="0"/>
                <w:color w:val="8B1A1A"/>
                <w:sz w:val="17"/>
              </w:rPr>
              <w:t>disabled</w:t>
            </w:r>
          </w:p>
        </w:tc>
        <w:tc>
          <w:tcPr>
            <w:tcW w:type="dxa" w:w="3184"/>
          </w:tcPr>
          <w:p>
            <w:pPr>
              <w:spacing w:after="20" w:before="20"/>
              <w:jc w:val="left"/>
            </w:pPr>
            <w:r>
              <w:rPr>
                <w:rFonts w:ascii="Times New Roman" w:hAnsi="Times New Roman"/>
                <w:b w:val="0"/>
                <w:i w:val="0"/>
                <w:sz w:val="17"/>
              </w:rPr>
              <w:t>—</w:t>
            </w:r>
          </w:p>
        </w:tc>
        <w:tc>
          <w:tcPr>
            <w:tcW w:type="dxa" w:w="1061"/>
          </w:tcPr>
          <w:p>
            <w:pPr>
              <w:spacing w:after="20" w:before="20"/>
              <w:jc w:val="right"/>
            </w:pPr>
            <w:r>
              <w:rPr>
                <w:rFonts w:ascii="Times New Roman" w:hAnsi="Times New Roman"/>
                <w:b w:val="0"/>
                <w:i w:val="0"/>
                <w:sz w:val="17"/>
              </w:rPr>
              <w:t>0</w:t>
            </w:r>
          </w:p>
        </w:tc>
        <w:tc>
          <w:tcPr>
            <w:tcW w:type="dxa" w:w="1640"/>
          </w:tcPr>
          <w:p>
            <w:pPr>
              <w:spacing w:after="20" w:before="20"/>
              <w:jc w:val="left"/>
            </w:pPr>
            <w:r>
              <w:rPr>
                <w:rFonts w:ascii="Times New Roman" w:hAnsi="Times New Roman"/>
                <w:b w:val="0"/>
                <w:i w:val="0"/>
                <w:sz w:val="17"/>
              </w:rPr>
              <w:t>—</w:t>
            </w:r>
          </w:p>
        </w:tc>
        <w:tc>
          <w:tcPr>
            <w:tcW w:type="dxa" w:w="2219"/>
          </w:tcPr>
          <w:p>
            <w:pPr>
              <w:spacing w:after="20" w:before="20"/>
              <w:jc w:val="left"/>
            </w:pPr>
            <w:r>
              <w:rPr>
                <w:rFonts w:ascii="Times New Roman" w:hAnsi="Times New Roman"/>
                <w:b w:val="0"/>
                <w:i w:val="0"/>
                <w:sz w:val="17"/>
              </w:rPr>
              <w:t>—</w:t>
            </w:r>
          </w:p>
        </w:tc>
      </w:tr>
      <w:tr>
        <w:tc>
          <w:tcPr>
            <w:tcW w:type="dxa" w:w="1254"/>
          </w:tcPr>
          <w:p>
            <w:pPr>
              <w:spacing w:after="20" w:before="20"/>
              <w:jc w:val="left"/>
            </w:pPr>
            <w:r>
              <w:rPr>
                <w:rFonts w:ascii="Consolas" w:hAnsi="Consolas"/>
                <w:b w:val="0"/>
                <w:i w:val="0"/>
                <w:color w:val="8B1A1A"/>
                <w:sz w:val="17"/>
              </w:rPr>
              <w:t>global_mutex</w:t>
            </w:r>
          </w:p>
        </w:tc>
        <w:tc>
          <w:tcPr>
            <w:tcW w:type="dxa" w:w="3184"/>
          </w:tcPr>
          <w:p>
            <w:pPr>
              <w:spacing w:after="20" w:before="20"/>
              <w:jc w:val="left"/>
            </w:pPr>
            <w:r>
              <w:rPr>
                <w:rFonts w:ascii="Times New Roman" w:hAnsi="Times New Roman"/>
                <w:b w:val="0"/>
                <w:i w:val="0"/>
                <w:sz w:val="17"/>
              </w:rPr>
              <w:t xml:space="preserve">one global </w:t>
            </w:r>
            <w:r>
              <w:rPr>
                <w:rFonts w:ascii="Consolas" w:hAnsi="Consolas"/>
                <w:b w:val="0"/>
                <w:i w:val="0"/>
                <w:color w:val="8B1A1A"/>
                <w:sz w:val="17"/>
              </w:rPr>
              <w:t>Mutex&lt;HashMap&gt;</w:t>
            </w:r>
          </w:p>
        </w:tc>
        <w:tc>
          <w:tcPr>
            <w:tcW w:type="dxa" w:w="1061"/>
          </w:tcPr>
          <w:p>
            <w:pPr>
              <w:spacing w:after="20" w:before="20"/>
              <w:jc w:val="right"/>
            </w:pPr>
            <w:r>
              <w:rPr>
                <w:rFonts w:ascii="Times New Roman" w:hAnsi="Times New Roman"/>
                <w:b w:val="0"/>
                <w:i w:val="0"/>
                <w:sz w:val="17"/>
              </w:rPr>
              <w:t>2</w:t>
            </w:r>
          </w:p>
        </w:tc>
        <w:tc>
          <w:tcPr>
            <w:tcW w:type="dxa" w:w="1640"/>
          </w:tcPr>
          <w:p>
            <w:pPr>
              <w:spacing w:after="20" w:before="20"/>
              <w:jc w:val="left"/>
            </w:pPr>
            <w:r>
              <w:rPr>
                <w:rFonts w:ascii="Times New Roman" w:hAnsi="Times New Roman"/>
                <w:b w:val="0"/>
                <w:i w:val="0"/>
                <w:sz w:val="17"/>
              </w:rPr>
              <w:t>eager, shared</w:t>
            </w:r>
          </w:p>
        </w:tc>
        <w:tc>
          <w:tcPr>
            <w:tcW w:type="dxa" w:w="2219"/>
          </w:tcPr>
          <w:p>
            <w:pPr>
              <w:spacing w:after="20" w:before="20"/>
              <w:jc w:val="left"/>
            </w:pPr>
            <w:r>
              <w:rPr>
                <w:rFonts w:ascii="Times New Roman" w:hAnsi="Times New Roman"/>
                <w:b w:val="0"/>
                <w:i w:val="0"/>
                <w:sz w:val="17"/>
              </w:rPr>
              <w:t>counter</w:t>
            </w:r>
          </w:p>
        </w:tc>
      </w:tr>
      <w:tr>
        <w:tc>
          <w:tcPr>
            <w:tcW w:type="dxa" w:w="1254"/>
          </w:tcPr>
          <w:p>
            <w:pPr>
              <w:spacing w:after="20" w:before="20"/>
              <w:jc w:val="left"/>
            </w:pPr>
            <w:r>
              <w:rPr>
                <w:rFonts w:ascii="Consolas" w:hAnsi="Consolas"/>
                <w:b w:val="0"/>
                <w:i w:val="0"/>
                <w:color w:val="8B1A1A"/>
                <w:sz w:val="17"/>
              </w:rPr>
              <w:t>sharded_2key</w:t>
            </w:r>
          </w:p>
        </w:tc>
        <w:tc>
          <w:tcPr>
            <w:tcW w:type="dxa" w:w="3184"/>
          </w:tcPr>
          <w:p>
            <w:pPr>
              <w:spacing w:after="20" w:before="20"/>
              <w:jc w:val="left"/>
            </w:pPr>
            <w:r>
              <w:rPr>
                <w:rFonts w:ascii="Consolas" w:hAnsi="Consolas"/>
                <w:b w:val="0"/>
                <w:i w:val="0"/>
                <w:color w:val="8B1A1A"/>
                <w:sz w:val="17"/>
              </w:rPr>
              <w:t>DashMap</w:t>
            </w:r>
            <w:r>
              <w:rPr>
                <w:rFonts w:ascii="Times New Roman" w:hAnsi="Times New Roman"/>
                <w:b w:val="0"/>
                <w:i w:val="0"/>
                <w:sz w:val="17"/>
              </w:rPr>
              <w:t>, 64 shards</w:t>
            </w:r>
          </w:p>
        </w:tc>
        <w:tc>
          <w:tcPr>
            <w:tcW w:type="dxa" w:w="1061"/>
          </w:tcPr>
          <w:p>
            <w:pPr>
              <w:spacing w:after="20" w:before="20"/>
              <w:jc w:val="right"/>
            </w:pPr>
            <w:r>
              <w:rPr>
                <w:rFonts w:ascii="Times New Roman" w:hAnsi="Times New Roman"/>
                <w:b w:val="0"/>
                <w:i w:val="0"/>
                <w:sz w:val="17"/>
              </w:rPr>
              <w:t>2</w:t>
            </w:r>
          </w:p>
        </w:tc>
        <w:tc>
          <w:tcPr>
            <w:tcW w:type="dxa" w:w="1640"/>
          </w:tcPr>
          <w:p>
            <w:pPr>
              <w:spacing w:after="20" w:before="20"/>
              <w:jc w:val="left"/>
            </w:pPr>
            <w:r>
              <w:rPr>
                <w:rFonts w:ascii="Times New Roman" w:hAnsi="Times New Roman"/>
                <w:b w:val="0"/>
                <w:i w:val="0"/>
                <w:sz w:val="17"/>
              </w:rPr>
              <w:t>eager, shared</w:t>
            </w:r>
          </w:p>
        </w:tc>
        <w:tc>
          <w:tcPr>
            <w:tcW w:type="dxa" w:w="2219"/>
          </w:tcPr>
          <w:p>
            <w:pPr>
              <w:spacing w:after="20" w:before="20"/>
              <w:jc w:val="left"/>
            </w:pPr>
            <w:r>
              <w:rPr>
                <w:rFonts w:ascii="Times New Roman" w:hAnsi="Times New Roman"/>
                <w:b w:val="0"/>
                <w:i w:val="0"/>
                <w:sz w:val="17"/>
              </w:rPr>
              <w:t>counter</w:t>
            </w:r>
          </w:p>
        </w:tc>
      </w:tr>
      <w:tr>
        <w:tc>
          <w:tcPr>
            <w:tcW w:type="dxa" w:w="1254"/>
          </w:tcPr>
          <w:p>
            <w:pPr>
              <w:spacing w:after="20" w:before="20"/>
              <w:jc w:val="left"/>
            </w:pPr>
            <w:r>
              <w:rPr>
                <w:rFonts w:ascii="Consolas" w:hAnsi="Consolas"/>
                <w:b w:val="0"/>
                <w:i w:val="0"/>
                <w:color w:val="8B1A1A"/>
                <w:sz w:val="17"/>
              </w:rPr>
              <w:t>sharded_n</w:t>
            </w:r>
          </w:p>
        </w:tc>
        <w:tc>
          <w:tcPr>
            <w:tcW w:type="dxa" w:w="3184"/>
          </w:tcPr>
          <w:p>
            <w:pPr>
              <w:spacing w:after="20" w:before="20"/>
              <w:jc w:val="left"/>
            </w:pPr>
            <w:r>
              <w:rPr>
                <w:rFonts w:ascii="Consolas" w:hAnsi="Consolas"/>
                <w:b w:val="0"/>
                <w:i w:val="0"/>
                <w:color w:val="8B1A1A"/>
                <w:sz w:val="17"/>
              </w:rPr>
              <w:t>DashMap</w:t>
            </w:r>
            <w:r>
              <w:rPr>
                <w:rFonts w:ascii="Times New Roman" w:hAnsi="Times New Roman"/>
                <w:b w:val="0"/>
                <w:i w:val="0"/>
                <w:sz w:val="17"/>
              </w:rPr>
              <w:t>, 64 shards</w:t>
            </w:r>
          </w:p>
        </w:tc>
        <w:tc>
          <w:tcPr>
            <w:tcW w:type="dxa" w:w="1061"/>
          </w:tcPr>
          <w:p>
            <w:pPr>
              <w:spacing w:after="20" w:before="20"/>
              <w:jc w:val="right"/>
            </w:pPr>
            <w:r>
              <w:rPr>
                <w:rFonts w:ascii="Times New Roman" w:hAnsi="Times New Roman"/>
                <w:b w:val="0"/>
                <w:i w:val="0"/>
                <w:sz w:val="17"/>
              </w:rPr>
              <w:t>~10,000</w:t>
            </w:r>
          </w:p>
        </w:tc>
        <w:tc>
          <w:tcPr>
            <w:tcW w:type="dxa" w:w="1640"/>
          </w:tcPr>
          <w:p>
            <w:pPr>
              <w:spacing w:after="20" w:before="20"/>
              <w:jc w:val="left"/>
            </w:pPr>
            <w:r>
              <w:rPr>
                <w:rFonts w:ascii="Times New Roman" w:hAnsi="Times New Roman"/>
                <w:b w:val="0"/>
                <w:i w:val="0"/>
                <w:sz w:val="17"/>
              </w:rPr>
              <w:t>eager, shared</w:t>
            </w:r>
          </w:p>
        </w:tc>
        <w:tc>
          <w:tcPr>
            <w:tcW w:type="dxa" w:w="2219"/>
          </w:tcPr>
          <w:p>
            <w:pPr>
              <w:spacing w:after="20" w:before="20"/>
              <w:jc w:val="left"/>
            </w:pPr>
            <w:r>
              <w:rPr>
                <w:rFonts w:ascii="Times New Roman" w:hAnsi="Times New Roman"/>
                <w:b w:val="0"/>
                <w:i w:val="0"/>
                <w:sz w:val="17"/>
              </w:rPr>
              <w:t>counter</w:t>
            </w:r>
          </w:p>
        </w:tc>
      </w:tr>
      <w:tr>
        <w:tc>
          <w:tcPr>
            <w:tcW w:type="dxa" w:w="1254"/>
          </w:tcPr>
          <w:p>
            <w:pPr>
              <w:spacing w:after="20" w:before="20"/>
              <w:jc w:val="left"/>
            </w:pPr>
            <w:r>
              <w:rPr>
                <w:rFonts w:ascii="Consolas" w:hAnsi="Consolas"/>
                <w:b w:val="0"/>
                <w:i w:val="0"/>
                <w:color w:val="8B1A1A"/>
                <w:sz w:val="17"/>
              </w:rPr>
              <w:t>thread_local</w:t>
            </w:r>
          </w:p>
        </w:tc>
        <w:tc>
          <w:tcPr>
            <w:tcW w:type="dxa" w:w="3184"/>
          </w:tcPr>
          <w:p>
            <w:pPr>
              <w:spacing w:after="20" w:before="20"/>
              <w:jc w:val="left"/>
            </w:pPr>
            <w:r>
              <w:rPr>
                <w:rFonts w:ascii="Times New Roman" w:hAnsi="Times New Roman"/>
                <w:b w:val="0"/>
                <w:i w:val="0"/>
                <w:sz w:val="17"/>
              </w:rPr>
              <w:t>thread-local map + periodic flush</w:t>
            </w:r>
          </w:p>
        </w:tc>
        <w:tc>
          <w:tcPr>
            <w:tcW w:type="dxa" w:w="1061"/>
          </w:tcPr>
          <w:p>
            <w:pPr>
              <w:spacing w:after="20" w:before="20"/>
              <w:jc w:val="right"/>
            </w:pPr>
            <w:r>
              <w:rPr>
                <w:rFonts w:ascii="Times New Roman" w:hAnsi="Times New Roman"/>
                <w:b w:val="0"/>
                <w:i w:val="0"/>
                <w:sz w:val="17"/>
              </w:rPr>
              <w:t>2</w:t>
            </w:r>
          </w:p>
        </w:tc>
        <w:tc>
          <w:tcPr>
            <w:tcW w:type="dxa" w:w="1640"/>
          </w:tcPr>
          <w:p>
            <w:pPr>
              <w:spacing w:after="20" w:before="20"/>
              <w:jc w:val="left"/>
            </w:pPr>
            <w:r>
              <w:rPr>
                <w:rFonts w:ascii="Times New Roman" w:hAnsi="Times New Roman"/>
                <w:b w:val="0"/>
                <w:i w:val="0"/>
                <w:sz w:val="17"/>
              </w:rPr>
              <w:t>deferred, private</w:t>
            </w:r>
          </w:p>
        </w:tc>
        <w:tc>
          <w:tcPr>
            <w:tcW w:type="dxa" w:w="2219"/>
          </w:tcPr>
          <w:p>
            <w:pPr>
              <w:spacing w:after="20" w:before="20"/>
              <w:jc w:val="left"/>
            </w:pPr>
            <w:r>
              <w:rPr>
                <w:rFonts w:ascii="Times New Roman" w:hAnsi="Times New Roman"/>
                <w:b w:val="0"/>
                <w:i w:val="0"/>
                <w:sz w:val="17"/>
              </w:rPr>
              <w:t>counter</w:t>
            </w:r>
          </w:p>
        </w:tc>
      </w:tr>
      <w:tr>
        <w:tc>
          <w:tcPr>
            <w:tcW w:type="dxa" w:w="1254"/>
          </w:tcPr>
          <w:p>
            <w:pPr>
              <w:spacing w:after="20" w:before="20"/>
              <w:jc w:val="left"/>
            </w:pPr>
            <w:r>
              <w:rPr>
                <w:rFonts w:ascii="Consolas" w:hAnsi="Consolas"/>
                <w:b w:val="0"/>
                <w:i w:val="0"/>
                <w:color w:val="8B1A1A"/>
                <w:sz w:val="17"/>
              </w:rPr>
              <w:t>hdr_histogram</w:t>
            </w:r>
          </w:p>
        </w:tc>
        <w:tc>
          <w:tcPr>
            <w:tcW w:type="dxa" w:w="3184"/>
          </w:tcPr>
          <w:p>
            <w:pPr>
              <w:spacing w:after="20" w:before="20"/>
              <w:jc w:val="left"/>
            </w:pPr>
            <w:r>
              <w:rPr>
                <w:rFonts w:ascii="Times New Roman" w:hAnsi="Times New Roman"/>
                <w:b w:val="0"/>
                <w:i w:val="0"/>
                <w:sz w:val="17"/>
              </w:rPr>
              <w:t>thread-local map + periodic flush</w:t>
            </w:r>
          </w:p>
        </w:tc>
        <w:tc>
          <w:tcPr>
            <w:tcW w:type="dxa" w:w="1061"/>
          </w:tcPr>
          <w:p>
            <w:pPr>
              <w:spacing w:after="20" w:before="20"/>
              <w:jc w:val="right"/>
            </w:pPr>
            <w:r>
              <w:rPr>
                <w:rFonts w:ascii="Times New Roman" w:hAnsi="Times New Roman"/>
                <w:b w:val="0"/>
                <w:i w:val="0"/>
                <w:sz w:val="17"/>
              </w:rPr>
              <w:t>2</w:t>
            </w:r>
          </w:p>
        </w:tc>
        <w:tc>
          <w:tcPr>
            <w:tcW w:type="dxa" w:w="1640"/>
          </w:tcPr>
          <w:p>
            <w:pPr>
              <w:spacing w:after="20" w:before="20"/>
              <w:jc w:val="left"/>
            </w:pPr>
            <w:r>
              <w:rPr>
                <w:rFonts w:ascii="Times New Roman" w:hAnsi="Times New Roman"/>
                <w:b w:val="0"/>
                <w:i w:val="0"/>
                <w:sz w:val="17"/>
              </w:rPr>
              <w:t>deferred, private</w:t>
            </w:r>
          </w:p>
        </w:tc>
        <w:tc>
          <w:tcPr>
            <w:tcW w:type="dxa" w:w="2219"/>
          </w:tcPr>
          <w:p>
            <w:pPr>
              <w:spacing w:after="20" w:before="20"/>
              <w:jc w:val="left"/>
            </w:pPr>
            <w:r>
              <w:rPr>
                <w:rFonts w:ascii="Times New Roman" w:hAnsi="Times New Roman"/>
                <w:b w:val="0"/>
                <w:i w:val="0"/>
                <w:sz w:val="17"/>
              </w:rPr>
              <w:t>counter + HDR histogram</w:t>
            </w:r>
          </w:p>
        </w:tc>
      </w:tr>
    </w:tbl>
    <w:p>
      <w:pPr>
        <w:spacing w:after="40"/>
      </w:pPr>
    </w:p>
    <w:p>
      <w:pPr>
        <w:jc w:val="both"/>
      </w:pPr>
      <w:r>
        <w:rPr>
          <w:rFonts w:ascii="Times New Roman" w:hAnsi="Times New Roman"/>
          <w:b w:val="0"/>
          <w:i w:val="0"/>
          <w:sz w:val="21"/>
        </w:rPr>
        <w:t>Cardinality 2 means the metric is keyed by command name (</w:t>
      </w:r>
      <w:r>
        <w:rPr>
          <w:rFonts w:ascii="Consolas" w:hAnsi="Consolas"/>
          <w:b w:val="0"/>
          <w:i w:val="0"/>
          <w:color w:val="8B1A1A"/>
          <w:sz w:val="17"/>
        </w:rPr>
        <w:t>GET</w:t>
      </w:r>
      <w:r>
        <w:rPr>
          <w:rFonts w:ascii="Times New Roman" w:hAnsi="Times New Roman"/>
          <w:b w:val="0"/>
          <w:i w:val="0"/>
          <w:sz w:val="21"/>
        </w:rPr>
        <w:t xml:space="preserve">, </w:t>
      </w:r>
      <w:r>
        <w:rPr>
          <w:rFonts w:ascii="Consolas" w:hAnsi="Consolas"/>
          <w:b w:val="0"/>
          <w:i w:val="0"/>
          <w:color w:val="8B1A1A"/>
          <w:sz w:val="17"/>
        </w:rPr>
        <w:t>SET</w:t>
      </w:r>
      <w:r>
        <w:rPr>
          <w:rFonts w:ascii="Times New Roman" w:hAnsi="Times New Roman"/>
          <w:b w:val="0"/>
          <w:i w:val="0"/>
          <w:sz w:val="21"/>
        </w:rPr>
        <w:t xml:space="preserve">); cardinality ~10,000 means it is keyed by the request's data key, over a 10,000-key workload — the direct analogue of a high-cardinality label such as </w:t>
      </w:r>
      <w:r>
        <w:rPr>
          <w:rFonts w:ascii="Consolas" w:hAnsi="Consolas"/>
          <w:b w:val="0"/>
          <w:i w:val="0"/>
          <w:color w:val="8B1A1A"/>
          <w:sz w:val="17"/>
        </w:rPr>
        <w:t>user_id</w:t>
      </w:r>
      <w:r>
        <w:rPr>
          <w:rFonts w:ascii="Times New Roman" w:hAnsi="Times New Roman"/>
          <w:b w:val="0"/>
          <w:i w:val="0"/>
          <w:sz w:val="21"/>
        </w:rPr>
        <w:t xml:space="preserve"> in a production metric. This yields four contrasts: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690"/>
            <w:shd w:val="clear" w:color="auto" w:fill="E8E8E8"/>
          </w:tcPr>
          <w:p>
            <w:pPr>
              <w:spacing w:after="20" w:before="20"/>
              <w:jc w:val="left"/>
            </w:pPr>
            <w:r>
              <w:rPr>
                <w:rFonts w:ascii="Times New Roman" w:hAnsi="Times New Roman"/>
                <w:b/>
                <w:i w:val="0"/>
                <w:sz w:val="17"/>
              </w:rPr>
              <w:t>Axis</w:t>
            </w:r>
          </w:p>
        </w:tc>
        <w:tc>
          <w:tcPr>
            <w:tcW w:type="dxa" w:w="2759"/>
            <w:shd w:val="clear" w:color="auto" w:fill="E8E8E8"/>
          </w:tcPr>
          <w:p>
            <w:pPr>
              <w:spacing w:after="20" w:before="20"/>
              <w:jc w:val="left"/>
            </w:pPr>
            <w:r>
              <w:rPr>
                <w:rFonts w:ascii="Times New Roman" w:hAnsi="Times New Roman"/>
                <w:b/>
                <w:i w:val="0"/>
                <w:sz w:val="17"/>
              </w:rPr>
              <w:t>Contrast</w:t>
            </w:r>
          </w:p>
        </w:tc>
        <w:tc>
          <w:tcPr>
            <w:tcW w:type="dxa" w:w="5912"/>
            <w:shd w:val="clear" w:color="auto" w:fill="E8E8E8"/>
          </w:tcPr>
          <w:p>
            <w:pPr>
              <w:spacing w:after="20" w:before="20"/>
              <w:jc w:val="left"/>
            </w:pPr>
            <w:r>
              <w:rPr>
                <w:rFonts w:ascii="Times New Roman" w:hAnsi="Times New Roman"/>
                <w:b/>
                <w:i w:val="0"/>
                <w:sz w:val="17"/>
              </w:rPr>
              <w:t>Question it prices</w:t>
            </w:r>
          </w:p>
        </w:tc>
      </w:tr>
      <w:tr>
        <w:tc>
          <w:tcPr>
            <w:tcW w:type="dxa" w:w="690"/>
          </w:tcPr>
          <w:p>
            <w:pPr>
              <w:spacing w:after="20" w:before="20"/>
              <w:jc w:val="left"/>
            </w:pPr>
            <w:r>
              <w:rPr>
                <w:rFonts w:ascii="Times New Roman" w:hAnsi="Times New Roman"/>
                <w:b/>
                <w:i w:val="0"/>
                <w:sz w:val="17"/>
              </w:rPr>
              <w:t>SYNC</w:t>
            </w:r>
          </w:p>
        </w:tc>
        <w:tc>
          <w:tcPr>
            <w:tcW w:type="dxa" w:w="2759"/>
          </w:tcPr>
          <w:p>
            <w:pPr>
              <w:spacing w:after="20" w:before="20"/>
              <w:jc w:val="left"/>
            </w:pPr>
            <w:r>
              <w:rPr>
                <w:rFonts w:ascii="Consolas" w:hAnsi="Consolas"/>
                <w:b w:val="0"/>
                <w:i w:val="0"/>
                <w:color w:val="8B1A1A"/>
                <w:sz w:val="17"/>
              </w:rPr>
              <w:t>global_mutex</w:t>
            </w:r>
            <w:r>
              <w:rPr>
                <w:rFonts w:ascii="Times New Roman" w:hAnsi="Times New Roman"/>
                <w:b w:val="0"/>
                <w:i w:val="0"/>
                <w:sz w:val="17"/>
              </w:rPr>
              <w:t xml:space="preserve"> − </w:t>
            </w:r>
            <w:r>
              <w:rPr>
                <w:rFonts w:ascii="Consolas" w:hAnsi="Consolas"/>
                <w:b w:val="0"/>
                <w:i w:val="0"/>
                <w:color w:val="8B1A1A"/>
                <w:sz w:val="17"/>
              </w:rPr>
              <w:t>sharded_2key</w:t>
            </w:r>
          </w:p>
        </w:tc>
        <w:tc>
          <w:tcPr>
            <w:tcW w:type="dxa" w:w="5912"/>
          </w:tcPr>
          <w:p>
            <w:pPr>
              <w:spacing w:after="20" w:before="20"/>
              <w:jc w:val="left"/>
            </w:pPr>
            <w:r>
              <w:rPr>
                <w:rFonts w:ascii="Times New Roman" w:hAnsi="Times New Roman"/>
                <w:b w:val="0"/>
                <w:i w:val="0"/>
                <w:sz w:val="17"/>
              </w:rPr>
              <w:t>What does a global lock cost versus a 64-way sharded map?</w:t>
            </w:r>
          </w:p>
        </w:tc>
      </w:tr>
      <w:tr>
        <w:tc>
          <w:tcPr>
            <w:tcW w:type="dxa" w:w="690"/>
          </w:tcPr>
          <w:p>
            <w:pPr>
              <w:spacing w:after="20" w:before="20"/>
              <w:jc w:val="left"/>
            </w:pPr>
            <w:r>
              <w:rPr>
                <w:rFonts w:ascii="Times New Roman" w:hAnsi="Times New Roman"/>
                <w:b/>
                <w:i w:val="0"/>
                <w:sz w:val="17"/>
              </w:rPr>
              <w:t>CARD</w:t>
            </w:r>
          </w:p>
        </w:tc>
        <w:tc>
          <w:tcPr>
            <w:tcW w:type="dxa" w:w="2759"/>
          </w:tcPr>
          <w:p>
            <w:pPr>
              <w:spacing w:after="20" w:before="20"/>
              <w:jc w:val="left"/>
            </w:pPr>
            <w:r>
              <w:rPr>
                <w:rFonts w:ascii="Consolas" w:hAnsi="Consolas"/>
                <w:b w:val="0"/>
                <w:i w:val="0"/>
                <w:color w:val="8B1A1A"/>
                <w:sz w:val="17"/>
              </w:rPr>
              <w:t>sharded_n</w:t>
            </w:r>
            <w:r>
              <w:rPr>
                <w:rFonts w:ascii="Times New Roman" w:hAnsi="Times New Roman"/>
                <w:b w:val="0"/>
                <w:i w:val="0"/>
                <w:sz w:val="17"/>
              </w:rPr>
              <w:t xml:space="preserve"> − </w:t>
            </w:r>
            <w:r>
              <w:rPr>
                <w:rFonts w:ascii="Consolas" w:hAnsi="Consolas"/>
                <w:b w:val="0"/>
                <w:i w:val="0"/>
                <w:color w:val="8B1A1A"/>
                <w:sz w:val="17"/>
              </w:rPr>
              <w:t>sharded_2key</w:t>
            </w:r>
          </w:p>
        </w:tc>
        <w:tc>
          <w:tcPr>
            <w:tcW w:type="dxa" w:w="5912"/>
          </w:tcPr>
          <w:p>
            <w:pPr>
              <w:spacing w:after="20" w:before="20"/>
              <w:jc w:val="left"/>
            </w:pPr>
            <w:r>
              <w:rPr>
                <w:rFonts w:ascii="Times New Roman" w:hAnsi="Times New Roman"/>
                <w:b w:val="0"/>
                <w:i w:val="0"/>
                <w:sz w:val="17"/>
              </w:rPr>
              <w:t>What does high-cardinality dynamic labeling cost?</w:t>
            </w:r>
          </w:p>
        </w:tc>
      </w:tr>
      <w:tr>
        <w:tc>
          <w:tcPr>
            <w:tcW w:type="dxa" w:w="690"/>
          </w:tcPr>
          <w:p>
            <w:pPr>
              <w:spacing w:after="20" w:before="20"/>
              <w:jc w:val="left"/>
            </w:pPr>
            <w:r>
              <w:rPr>
                <w:rFonts w:ascii="Times New Roman" w:hAnsi="Times New Roman"/>
                <w:b/>
                <w:i w:val="0"/>
                <w:sz w:val="17"/>
              </w:rPr>
              <w:t>DEFER</w:t>
            </w:r>
          </w:p>
        </w:tc>
        <w:tc>
          <w:tcPr>
            <w:tcW w:type="dxa" w:w="2759"/>
          </w:tcPr>
          <w:p>
            <w:pPr>
              <w:spacing w:after="20" w:before="20"/>
              <w:jc w:val="left"/>
            </w:pPr>
            <w:r>
              <w:rPr>
                <w:rFonts w:ascii="Consolas" w:hAnsi="Consolas"/>
                <w:b w:val="0"/>
                <w:i w:val="0"/>
                <w:color w:val="8B1A1A"/>
                <w:sz w:val="17"/>
              </w:rPr>
              <w:t>sharded_2key</w:t>
            </w:r>
            <w:r>
              <w:rPr>
                <w:rFonts w:ascii="Times New Roman" w:hAnsi="Times New Roman"/>
                <w:b w:val="0"/>
                <w:i w:val="0"/>
                <w:sz w:val="17"/>
              </w:rPr>
              <w:t xml:space="preserve"> − </w:t>
            </w:r>
            <w:r>
              <w:rPr>
                <w:rFonts w:ascii="Consolas" w:hAnsi="Consolas"/>
                <w:b w:val="0"/>
                <w:i w:val="0"/>
                <w:color w:val="8B1A1A"/>
                <w:sz w:val="17"/>
              </w:rPr>
              <w:t>thread_local</w:t>
            </w:r>
          </w:p>
        </w:tc>
        <w:tc>
          <w:tcPr>
            <w:tcW w:type="dxa" w:w="5912"/>
          </w:tcPr>
          <w:p>
            <w:pPr>
              <w:spacing w:after="20" w:before="20"/>
              <w:jc w:val="left"/>
            </w:pPr>
            <w:r>
              <w:rPr>
                <w:rFonts w:ascii="Times New Roman" w:hAnsi="Times New Roman"/>
                <w:b w:val="0"/>
                <w:i w:val="0"/>
                <w:sz w:val="17"/>
              </w:rPr>
              <w:t>What does eager shared aggregation cost versus deferred thread-local?</w:t>
            </w:r>
          </w:p>
        </w:tc>
      </w:tr>
      <w:tr>
        <w:tc>
          <w:tcPr>
            <w:tcW w:type="dxa" w:w="690"/>
          </w:tcPr>
          <w:p>
            <w:pPr>
              <w:spacing w:after="20" w:before="20"/>
              <w:jc w:val="left"/>
            </w:pPr>
            <w:r>
              <w:rPr>
                <w:rFonts w:ascii="Times New Roman" w:hAnsi="Times New Roman"/>
                <w:b/>
                <w:i w:val="0"/>
                <w:sz w:val="17"/>
              </w:rPr>
              <w:t>PAYLOAD</w:t>
            </w:r>
          </w:p>
        </w:tc>
        <w:tc>
          <w:tcPr>
            <w:tcW w:type="dxa" w:w="2759"/>
          </w:tcPr>
          <w:p>
            <w:pPr>
              <w:spacing w:after="20" w:before="20"/>
              <w:jc w:val="left"/>
            </w:pPr>
            <w:r>
              <w:rPr>
                <w:rFonts w:ascii="Consolas" w:hAnsi="Consolas"/>
                <w:b w:val="0"/>
                <w:i w:val="0"/>
                <w:color w:val="8B1A1A"/>
                <w:sz w:val="17"/>
              </w:rPr>
              <w:t>hdr_histogram</w:t>
            </w:r>
            <w:r>
              <w:rPr>
                <w:rFonts w:ascii="Times New Roman" w:hAnsi="Times New Roman"/>
                <w:b w:val="0"/>
                <w:i w:val="0"/>
                <w:sz w:val="17"/>
              </w:rPr>
              <w:t xml:space="preserve"> − </w:t>
            </w:r>
            <w:r>
              <w:rPr>
                <w:rFonts w:ascii="Consolas" w:hAnsi="Consolas"/>
                <w:b w:val="0"/>
                <w:i w:val="0"/>
                <w:color w:val="8B1A1A"/>
                <w:sz w:val="17"/>
              </w:rPr>
              <w:t>thread_local</w:t>
            </w:r>
          </w:p>
        </w:tc>
        <w:tc>
          <w:tcPr>
            <w:tcW w:type="dxa" w:w="5912"/>
          </w:tcPr>
          <w:p>
            <w:pPr>
              <w:spacing w:after="20" w:before="20"/>
              <w:jc w:val="left"/>
            </w:pPr>
            <w:r>
              <w:rPr>
                <w:rFonts w:ascii="Times New Roman" w:hAnsi="Times New Roman"/>
                <w:b w:val="0"/>
                <w:i w:val="0"/>
                <w:sz w:val="17"/>
              </w:rPr>
              <w:t>What does a latency histogram cost versus a plain counter?</w:t>
            </w:r>
          </w:p>
        </w:tc>
      </w:tr>
    </w:tbl>
    <w:p>
      <w:pPr>
        <w:spacing w:after="40"/>
      </w:pPr>
    </w:p>
    <w:p>
      <w:pPr>
        <w:jc w:val="both"/>
      </w:pPr>
      <w:r>
        <w:rPr>
          <w:rFonts w:ascii="Times New Roman" w:hAnsi="Times New Roman"/>
          <w:b w:val="0"/>
          <w:i w:val="0"/>
          <w:sz w:val="21"/>
        </w:rPr>
        <w:t xml:space="preserve">Because all four are differences against a shared reference, arbitrary strategy comparisons are recoverable by arithmetic. In particular </w:t>
      </w:r>
      <w:r>
        <w:rPr>
          <w:rFonts w:ascii="Times New Roman" w:hAnsi="Times New Roman"/>
          <w:b/>
          <w:i w:val="0"/>
          <w:sz w:val="21"/>
        </w:rPr>
        <w:t xml:space="preserve">CARD − SYNC is algebraically identical to </w:t>
      </w:r>
      <w:r>
        <w:rPr>
          <w:rFonts w:ascii="Consolas" w:hAnsi="Consolas"/>
          <w:b/>
          <w:i w:val="0"/>
          <w:color w:val="8B1A1A"/>
          <w:sz w:val="17"/>
        </w:rPr>
        <w:t>sharded_n</w:t>
      </w:r>
      <w:r>
        <w:rPr>
          <w:rFonts w:ascii="Times New Roman" w:hAnsi="Times New Roman"/>
          <w:b/>
          <w:i w:val="0"/>
          <w:sz w:val="21"/>
        </w:rPr>
        <w:t xml:space="preserve"> − </w:t>
      </w:r>
      <w:r>
        <w:rPr>
          <w:rFonts w:ascii="Consolas" w:hAnsi="Consolas"/>
          <w:b/>
          <w:i w:val="0"/>
          <w:color w:val="8B1A1A"/>
          <w:sz w:val="17"/>
        </w:rPr>
        <w:t>global_mutex</w:t>
      </w:r>
      <w:r>
        <w:rPr>
          <w:rFonts w:ascii="Times New Roman" w:hAnsi="Times New Roman"/>
          <w:b w:val="0"/>
          <w:i w:val="0"/>
          <w:sz w:val="21"/>
        </w:rPr>
        <w:t>, which is why §5.1's headline has a direct physical reading.</w:t>
      </w:r>
    </w:p>
    <w:p>
      <w:pPr>
        <w:pStyle w:val="Heading2"/>
      </w:pPr>
      <w:r>
        <w:rPr>
          <w:rFonts w:ascii="Times New Roman" w:hAnsi="Times New Roman"/>
          <w:b/>
          <w:i w:val="0"/>
          <w:color w:val="000000"/>
          <w:sz w:val="26"/>
        </w:rPr>
        <w:t>3.3 What each contrast does and does not isolate</w:t>
      </w:r>
    </w:p>
    <w:p>
      <w:pPr>
        <w:jc w:val="both"/>
      </w:pPr>
      <w:r>
        <w:rPr>
          <w:rFonts w:ascii="Times New Roman" w:hAnsi="Times New Roman"/>
          <w:b w:val="0"/>
          <w:i w:val="0"/>
          <w:sz w:val="21"/>
        </w:rPr>
        <w:t>Isolating one axis per contrast is the design intent; the implementation is not perfectly clean, and we state the residual differences explicitly because two of them bear on the headline claim.</w:t>
      </w:r>
    </w:p>
    <w:p>
      <w:pPr>
        <w:pStyle w:val="ListBullet"/>
        <w:spacing w:after="80"/>
        <w:ind w:left="504"/>
      </w:pPr>
      <w:r>
        <w:rPr>
          <w:rFonts w:ascii="Times New Roman" w:hAnsi="Times New Roman"/>
          <w:b/>
          <w:i w:val="0"/>
          <w:sz w:val="21"/>
        </w:rPr>
        <w:t>SYNC is contaminated against our own hypothesis.</w:t>
      </w:r>
      <w:r>
        <w:rPr>
          <w:rFonts w:ascii="Times New Roman" w:hAnsi="Times New Roman"/>
          <w:b w:val="0"/>
          <w:i w:val="0"/>
          <w:sz w:val="21"/>
        </w:rPr>
        <w:t xml:space="preserve"> </w:t>
      </w:r>
      <w:r>
        <w:rPr>
          <w:rFonts w:ascii="Consolas" w:hAnsi="Consolas"/>
          <w:b w:val="0"/>
          <w:i w:val="0"/>
          <w:color w:val="8B1A1A"/>
          <w:sz w:val="17"/>
        </w:rPr>
        <w:t>global_mutex</w:t>
      </w:r>
      <w:r>
        <w:rPr>
          <w:rFonts w:ascii="Times New Roman" w:hAnsi="Times New Roman"/>
          <w:b w:val="0"/>
          <w:i w:val="0"/>
          <w:sz w:val="21"/>
        </w:rPr>
        <w:t xml:space="preserve"> additionally instruments </w:t>
      </w:r>
      <w:r>
        <w:rPr>
          <w:rFonts w:ascii="Times New Roman" w:hAnsi="Times New Roman"/>
          <w:b w:val="0"/>
          <w:i/>
          <w:sz w:val="21"/>
        </w:rPr>
        <w:t>itself</w:t>
      </w:r>
      <w:r>
        <w:rPr>
          <w:rFonts w:ascii="Times New Roman" w:hAnsi="Times New Roman"/>
          <w:b w:val="0"/>
          <w:i w:val="0"/>
          <w:sz w:val="21"/>
        </w:rPr>
        <w:t xml:space="preserve">: it brackets the lock acquisition with two </w:t>
      </w:r>
      <w:r>
        <w:rPr>
          <w:rFonts w:ascii="Consolas" w:hAnsi="Consolas"/>
          <w:b w:val="0"/>
          <w:i w:val="0"/>
          <w:color w:val="8B1A1A"/>
          <w:sz w:val="17"/>
        </w:rPr>
        <w:t>Instant</w:t>
      </w:r>
      <w:r>
        <w:rPr>
          <w:rFonts w:ascii="Times New Roman" w:hAnsi="Times New Roman"/>
          <w:b w:val="0"/>
          <w:i w:val="0"/>
          <w:sz w:val="21"/>
        </w:rPr>
        <w:t xml:space="preserve"> reads and accumulates the wait into a shared </w:t>
      </w:r>
      <w:r>
        <w:rPr>
          <w:rFonts w:ascii="Consolas" w:hAnsi="Consolas"/>
          <w:b w:val="0"/>
          <w:i w:val="0"/>
          <w:color w:val="8B1A1A"/>
          <w:sz w:val="17"/>
        </w:rPr>
        <w:t>AtomicU64</w:t>
      </w:r>
      <w:r>
        <w:rPr>
          <w:rFonts w:ascii="Times New Roman" w:hAnsi="Times New Roman"/>
          <w:b w:val="0"/>
          <w:i w:val="0"/>
          <w:sz w:val="21"/>
        </w:rPr>
        <w:t xml:space="preserve"> on every operation. That atomic is a single contended cache line, and it is work the other five strategies do not perform. The measured SYNC penalty therefore </w:t>
      </w:r>
      <w:r>
        <w:rPr>
          <w:rFonts w:ascii="Times New Roman" w:hAnsi="Times New Roman"/>
          <w:b/>
          <w:i w:val="0"/>
          <w:sz w:val="21"/>
        </w:rPr>
        <w:t>overstates</w:t>
      </w:r>
      <w:r>
        <w:rPr>
          <w:rFonts w:ascii="Times New Roman" w:hAnsi="Times New Roman"/>
          <w:b w:val="0"/>
          <w:i w:val="0"/>
          <w:sz w:val="21"/>
        </w:rPr>
        <w:t xml:space="preserve"> the cost of the global lock as such. Since our claim is that SYNC is </w:t>
      </w:r>
      <w:r>
        <w:rPr>
          <w:rFonts w:ascii="Times New Roman" w:hAnsi="Times New Roman"/>
          <w:b w:val="0"/>
          <w:i/>
          <w:sz w:val="21"/>
        </w:rPr>
        <w:t>smaller</w:t>
      </w:r>
      <w:r>
        <w:rPr>
          <w:rFonts w:ascii="Times New Roman" w:hAnsi="Times New Roman"/>
          <w:b w:val="0"/>
          <w:i w:val="0"/>
          <w:sz w:val="21"/>
        </w:rPr>
        <w:t xml:space="preserve"> than CARD, this confound biases against the claim, and the claim survives it — the true gap is if anything wider than reported. We report the measured value and treat it as a conservative upper bound on the synchronization axis.</w:t>
      </w:r>
    </w:p>
    <w:p>
      <w:pPr>
        <w:pStyle w:val="ListBullet"/>
        <w:spacing w:after="80"/>
        <w:ind w:left="504"/>
      </w:pPr>
      <w:r>
        <w:rPr>
          <w:rFonts w:ascii="Times New Roman" w:hAnsi="Times New Roman"/>
          <w:b/>
          <w:i w:val="0"/>
          <w:sz w:val="21"/>
        </w:rPr>
        <w:t>CARD bundles cardinality with owned-key allocation — and §5.4 separates them.</w:t>
      </w:r>
      <w:r>
        <w:rPr>
          <w:rFonts w:ascii="Times New Roman" w:hAnsi="Times New Roman"/>
          <w:b w:val="0"/>
          <w:i w:val="0"/>
          <w:sz w:val="21"/>
        </w:rPr>
        <w:t xml:space="preserve"> </w:t>
      </w:r>
      <w:r>
        <w:rPr>
          <w:rFonts w:ascii="Consolas" w:hAnsi="Consolas"/>
          <w:b w:val="0"/>
          <w:i w:val="0"/>
          <w:color w:val="8B1A1A"/>
          <w:sz w:val="17"/>
        </w:rPr>
        <w:t>sharded_n</w:t>
      </w:r>
      <w:r>
        <w:rPr>
          <w:rFonts w:ascii="Times New Roman" w:hAnsi="Times New Roman"/>
          <w:b w:val="0"/>
          <w:i w:val="0"/>
          <w:sz w:val="21"/>
        </w:rPr>
        <w:t xml:space="preserve"> keys its map by an owned </w:t>
      </w:r>
      <w:r>
        <w:rPr>
          <w:rFonts w:ascii="Consolas" w:hAnsi="Consolas"/>
          <w:b w:val="0"/>
          <w:i w:val="0"/>
          <w:color w:val="8B1A1A"/>
          <w:sz w:val="17"/>
        </w:rPr>
        <w:t>String</w:t>
      </w:r>
      <w:r>
        <w:rPr>
          <w:rFonts w:ascii="Times New Roman" w:hAnsi="Times New Roman"/>
          <w:b w:val="0"/>
          <w:i w:val="0"/>
          <w:sz w:val="21"/>
        </w:rPr>
        <w:t xml:space="preserve">, allocated per operation, whereas </w:t>
      </w:r>
      <w:r>
        <w:rPr>
          <w:rFonts w:ascii="Consolas" w:hAnsi="Consolas"/>
          <w:b w:val="0"/>
          <w:i w:val="0"/>
          <w:color w:val="8B1A1A"/>
          <w:sz w:val="17"/>
        </w:rPr>
        <w:t>sharded_2key</w:t>
      </w:r>
      <w:r>
        <w:rPr>
          <w:rFonts w:ascii="Times New Roman" w:hAnsi="Times New Roman"/>
          <w:b w:val="0"/>
          <w:i w:val="0"/>
          <w:sz w:val="21"/>
        </w:rPr>
        <w:t xml:space="preserve"> uses a </w:t>
      </w:r>
      <w:r>
        <w:rPr>
          <w:rFonts w:ascii="Consolas" w:hAnsi="Consolas"/>
          <w:b w:val="0"/>
          <w:i w:val="0"/>
          <w:color w:val="8B1A1A"/>
          <w:sz w:val="17"/>
        </w:rPr>
        <w:t>&amp;'static str</w:t>
      </w:r>
      <w:r>
        <w:rPr>
          <w:rFonts w:ascii="Times New Roman" w:hAnsi="Times New Roman"/>
          <w:b w:val="0"/>
          <w:i w:val="0"/>
          <w:sz w:val="21"/>
        </w:rPr>
        <w:t xml:space="preserve">. As specified, the contrast therefore prices "labeling by a high-cardinality dynamic value" as a package — map growth to ~10,000 entries </w:t>
      </w:r>
      <w:r>
        <w:rPr>
          <w:rFonts w:ascii="Times New Roman" w:hAnsi="Times New Roman"/>
          <w:b w:val="0"/>
          <w:i/>
          <w:sz w:val="21"/>
        </w:rPr>
        <w:t>plus</w:t>
      </w:r>
      <w:r>
        <w:rPr>
          <w:rFonts w:ascii="Times New Roman" w:hAnsi="Times New Roman"/>
          <w:b w:val="0"/>
          <w:i w:val="0"/>
          <w:sz w:val="21"/>
        </w:rPr>
        <w:t xml:space="preserve"> the per-operation key materialization that such labeling requires. That package is the practically relevant quantity, since a dynamic label in a real system (a user ID, a route, a tenant) must be materialized on every operation too. But the attribution between the two components mattered enough to measure directly, and §5.4 reports a dedicated eight-run experiment that does so: the entry count accounts for essentially all of CARD. The axis is cardinality, not an allocation artifact.</w:t>
      </w:r>
    </w:p>
    <w:p>
      <w:pPr>
        <w:pStyle w:val="ListBullet"/>
        <w:spacing w:after="80"/>
        <w:ind w:left="504"/>
      </w:pPr>
      <w:r>
        <w:rPr>
          <w:rFonts w:ascii="Times New Roman" w:hAnsi="Times New Roman"/>
          <w:b/>
          <w:i w:val="0"/>
          <w:sz w:val="21"/>
        </w:rPr>
        <w:t>PAYLOAD shares that allocation term — and §5.4 separates it too.</w:t>
      </w:r>
      <w:r>
        <w:rPr>
          <w:rFonts w:ascii="Times New Roman" w:hAnsi="Times New Roman"/>
          <w:b w:val="0"/>
          <w:i w:val="0"/>
          <w:sz w:val="21"/>
        </w:rPr>
        <w:t xml:space="preserve"> </w:t>
      </w:r>
      <w:r>
        <w:rPr>
          <w:rFonts w:ascii="Consolas" w:hAnsi="Consolas"/>
          <w:b w:val="0"/>
          <w:i w:val="0"/>
          <w:color w:val="8B1A1A"/>
          <w:sz w:val="17"/>
        </w:rPr>
        <w:t>hdr_histogram</w:t>
      </w:r>
      <w:r>
        <w:rPr>
          <w:rFonts w:ascii="Times New Roman" w:hAnsi="Times New Roman"/>
          <w:b w:val="0"/>
          <w:i w:val="0"/>
          <w:sz w:val="21"/>
        </w:rPr>
        <w:t xml:space="preserve"> also keys by an owned </w:t>
      </w:r>
      <w:r>
        <w:rPr>
          <w:rFonts w:ascii="Consolas" w:hAnsi="Consolas"/>
          <w:b w:val="0"/>
          <w:i w:val="0"/>
          <w:color w:val="8B1A1A"/>
          <w:sz w:val="17"/>
        </w:rPr>
        <w:t>String</w:t>
      </w:r>
      <w:r>
        <w:rPr>
          <w:rFonts w:ascii="Times New Roman" w:hAnsi="Times New Roman"/>
          <w:b w:val="0"/>
          <w:i w:val="0"/>
          <w:sz w:val="21"/>
        </w:rPr>
        <w:t xml:space="preserve"> while </w:t>
      </w:r>
      <w:r>
        <w:rPr>
          <w:rFonts w:ascii="Consolas" w:hAnsi="Consolas"/>
          <w:b w:val="0"/>
          <w:i w:val="0"/>
          <w:color w:val="8B1A1A"/>
          <w:sz w:val="17"/>
        </w:rPr>
        <w:t>thread_local</w:t>
      </w:r>
      <w:r>
        <w:rPr>
          <w:rFonts w:ascii="Times New Roman" w:hAnsi="Times New Roman"/>
          <w:b w:val="0"/>
          <w:i w:val="0"/>
          <w:sz w:val="21"/>
        </w:rPr>
        <w:t xml:space="preserve"> uses </w:t>
      </w:r>
      <w:r>
        <w:rPr>
          <w:rFonts w:ascii="Consolas" w:hAnsi="Consolas"/>
          <w:b w:val="0"/>
          <w:i w:val="0"/>
          <w:color w:val="8B1A1A"/>
          <w:sz w:val="17"/>
        </w:rPr>
        <w:t>&amp;'static str</w:t>
      </w:r>
      <w:r>
        <w:rPr>
          <w:rFonts w:ascii="Times New Roman" w:hAnsi="Times New Roman"/>
          <w:b w:val="0"/>
          <w:i w:val="0"/>
          <w:sz w:val="21"/>
        </w:rPr>
        <w:t xml:space="preserve">, so PAYLOAD as specified prices the histogram </w:t>
      </w:r>
      <w:r>
        <w:rPr>
          <w:rFonts w:ascii="Times New Roman" w:hAnsi="Times New Roman"/>
          <w:b w:val="0"/>
          <w:i/>
          <w:sz w:val="21"/>
        </w:rPr>
        <w:t>plus</w:t>
      </w:r>
      <w:r>
        <w:rPr>
          <w:rFonts w:ascii="Times New Roman" w:hAnsi="Times New Roman"/>
          <w:b w:val="0"/>
          <w:i w:val="0"/>
          <w:sz w:val="21"/>
        </w:rPr>
        <w:t xml:space="preserve"> the same key materialization. Its cardinality is 2, so no map-growth component is involved. §5.4 finds roughly 80% of PAYLOAD is the histogram itself.</w:t>
      </w:r>
    </w:p>
    <w:p>
      <w:pPr>
        <w:pStyle w:val="ListBullet"/>
        <w:spacing w:after="80"/>
        <w:ind w:left="504"/>
      </w:pPr>
      <w:r>
        <w:rPr>
          <w:rFonts w:ascii="Times New Roman" w:hAnsi="Times New Roman"/>
          <w:b/>
          <w:i w:val="0"/>
          <w:sz w:val="21"/>
        </w:rPr>
        <w:t>DEFER is close to clean.</w:t>
      </w:r>
      <w:r>
        <w:rPr>
          <w:rFonts w:ascii="Times New Roman" w:hAnsi="Times New Roman"/>
          <w:b w:val="0"/>
          <w:i w:val="0"/>
          <w:sz w:val="21"/>
        </w:rPr>
        <w:t xml:space="preserve"> Both sides use </w:t>
      </w:r>
      <w:r>
        <w:rPr>
          <w:rFonts w:ascii="Consolas" w:hAnsi="Consolas"/>
          <w:b w:val="0"/>
          <w:i w:val="0"/>
          <w:color w:val="8B1A1A"/>
          <w:sz w:val="17"/>
        </w:rPr>
        <w:t>&amp;'static str</w:t>
      </w:r>
      <w:r>
        <w:rPr>
          <w:rFonts w:ascii="Times New Roman" w:hAnsi="Times New Roman"/>
          <w:b w:val="0"/>
          <w:i w:val="0"/>
          <w:sz w:val="21"/>
        </w:rPr>
        <w:t xml:space="preserve"> keys at cardinality 2. </w:t>
      </w:r>
      <w:r>
        <w:rPr>
          <w:rFonts w:ascii="Consolas" w:hAnsi="Consolas"/>
          <w:b w:val="0"/>
          <w:i w:val="0"/>
          <w:color w:val="8B1A1A"/>
          <w:sz w:val="17"/>
        </w:rPr>
        <w:t>thread_local</w:t>
      </w:r>
      <w:r>
        <w:rPr>
          <w:rFonts w:ascii="Times New Roman" w:hAnsi="Times New Roman"/>
          <w:b w:val="0"/>
          <w:i w:val="0"/>
          <w:sz w:val="21"/>
        </w:rPr>
        <w:t xml:space="preserve"> additionally increments a shared atomic flush counter per operation and performs a periodic batch push, which is intrinsic to deferred aggregation rather than incidental to it.</w:t>
      </w:r>
    </w:p>
    <w:p>
      <w:pPr>
        <w:jc w:val="both"/>
      </w:pPr>
      <w:r>
        <w:rPr>
          <w:rFonts w:ascii="Times New Roman" w:hAnsi="Times New Roman"/>
          <w:b w:val="0"/>
          <w:i w:val="0"/>
          <w:sz w:val="21"/>
        </w:rPr>
        <w:t>Two axes (SYNC, DEFER) are therefore clean-to-conservative, and two (CARD, PAYLOAD) price a coherent package that includes a shared allocation term. §5.4 decomposes that package with a separate experiment and finds the package is dominated by the axis it is named for in both cases.</w:t>
      </w:r>
    </w:p>
    <w:p>
      <w:pPr>
        <w:spacing w:before="40" w:after="160"/>
        <w:pBdr>
          <w:bottom w:val="single" w:sz="6" w:space="1" w:color="AAAAAA"/>
        </w:pBdr>
      </w:pPr>
    </w:p>
    <w:p>
      <w:pPr>
        <w:pStyle w:val="Heading1"/>
      </w:pPr>
      <w:r>
        <w:rPr>
          <w:rFonts w:ascii="Times New Roman" w:hAnsi="Times New Roman"/>
          <w:b/>
          <w:i w:val="0"/>
          <w:color w:val="000000"/>
          <w:sz w:val="32"/>
        </w:rPr>
        <w:t>4. Experimental Methodology</w:t>
      </w:r>
    </w:p>
    <w:p>
      <w:pPr>
        <w:pStyle w:val="Heading2"/>
      </w:pPr>
      <w:r>
        <w:rPr>
          <w:rFonts w:ascii="Times New Roman" w:hAnsi="Times New Roman"/>
          <w:b/>
          <w:i w:val="0"/>
          <w:color w:val="000000"/>
          <w:sz w:val="26"/>
        </w:rPr>
        <w:t>4.1 Design</w:t>
      </w:r>
    </w:p>
    <w:p>
      <w:pPr>
        <w:jc w:val="both"/>
      </w:pPr>
      <w:r>
        <w:rPr>
          <w:rFonts w:ascii="Times New Roman" w:hAnsi="Times New Roman"/>
          <w:b w:val="0"/>
          <w:i w:val="0"/>
          <w:sz w:val="21"/>
        </w:rPr>
        <w:t>Throughput on lightly controlled machines drifts over a run, so a blocked design would confound strategy with machine state [1]. We use RMIT: each repetition ("block") runs every (strategy, concurrency, workload) configuration exactly once in a fresh independent random permutation, and the server is restarted before every run. A machine-state snapshot (CPU frequency, governor, thermal zone, memory, swap, load average) is logged immediately before each run.</w:t>
      </w:r>
    </w:p>
    <w:p>
      <w:pPr>
        <w:jc w:val="both"/>
      </w:pPr>
      <w:r>
        <w:rPr>
          <w:rFonts w:ascii="Times New Roman" w:hAnsi="Times New Roman"/>
          <w:b w:val="0"/>
          <w:i w:val="0"/>
          <w:sz w:val="21"/>
        </w:rPr>
        <w:t xml:space="preserve">All overhead figures are </w:t>
      </w:r>
      <w:r>
        <w:rPr>
          <w:rFonts w:ascii="Times New Roman" w:hAnsi="Times New Roman"/>
          <w:b/>
          <w:i w:val="0"/>
          <w:sz w:val="21"/>
        </w:rPr>
        <w:t>paired within-block ratios</w:t>
      </w:r>
      <w:r>
        <w:rPr>
          <w:rFonts w:ascii="Times New Roman" w:hAnsi="Times New Roman"/>
          <w:b w:val="0"/>
          <w:i w:val="0"/>
          <w:sz w:val="21"/>
        </w:rPr>
        <w:t xml:space="preserve"> against the </w:t>
      </w:r>
      <w:r>
        <w:rPr>
          <w:rFonts w:ascii="Consolas" w:hAnsi="Consolas"/>
          <w:b w:val="0"/>
          <w:i w:val="0"/>
          <w:color w:val="8B1A1A"/>
          <w:sz w:val="17"/>
        </w:rPr>
        <w:t>disabled</w:t>
      </w:r>
      <w:r>
        <w:rPr>
          <w:rFonts w:ascii="Times New Roman" w:hAnsi="Times New Roman"/>
          <w:b w:val="0"/>
          <w:i w:val="0"/>
          <w:sz w:val="21"/>
        </w:rPr>
        <w:t xml:space="preserve"> baseline in the same block. This is the comparison RMIT makes valid: every strategy in a block met the same machine conditions, so a condition that slowed the block slows numerator and denominator alike.</w:t>
      </w:r>
    </w:p>
    <w:p>
      <w:pPr>
        <w:pStyle w:val="Heading2"/>
      </w:pPr>
      <w:r>
        <w:rPr>
          <w:rFonts w:ascii="Times New Roman" w:hAnsi="Times New Roman"/>
          <w:b/>
          <w:i w:val="0"/>
          <w:color w:val="000000"/>
          <w:sz w:val="26"/>
        </w:rPr>
        <w:t>4.2 Datasets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759"/>
            <w:shd w:val="clear" w:color="auto" w:fill="E8E8E8"/>
          </w:tcPr>
          <w:p>
            <w:pPr>
              <w:spacing w:after="20" w:before="20"/>
              <w:jc w:val="left"/>
            </w:pPr>
            <w:r>
              <w:rPr>
                <w:rFonts w:ascii="Times New Roman" w:hAnsi="Times New Roman"/>
                <w:b/>
                <w:i w:val="0"/>
                <w:sz w:val="17"/>
              </w:rPr>
              <w:t>Dataset</w:t>
            </w:r>
          </w:p>
        </w:tc>
        <w:tc>
          <w:tcPr>
            <w:tcW w:type="dxa" w:w="3455"/>
            <w:shd w:val="clear" w:color="auto" w:fill="E8E8E8"/>
          </w:tcPr>
          <w:p>
            <w:pPr>
              <w:spacing w:after="20" w:before="20"/>
              <w:jc w:val="left"/>
            </w:pPr>
            <w:r>
              <w:rPr>
                <w:rFonts w:ascii="Times New Roman" w:hAnsi="Times New Roman"/>
                <w:b/>
                <w:i w:val="0"/>
                <w:sz w:val="17"/>
              </w:rPr>
              <w:t>Hardware</w:t>
            </w:r>
          </w:p>
        </w:tc>
        <w:tc>
          <w:tcPr>
            <w:tcW w:type="dxa" w:w="3769"/>
            <w:shd w:val="clear" w:color="auto" w:fill="E8E8E8"/>
          </w:tcPr>
          <w:p>
            <w:pPr>
              <w:spacing w:after="20" w:before="20"/>
              <w:jc w:val="left"/>
            </w:pPr>
            <w:r>
              <w:rPr>
                <w:rFonts w:ascii="Times New Roman" w:hAnsi="Times New Roman"/>
                <w:b/>
                <w:i w:val="0"/>
                <w:sz w:val="17"/>
              </w:rPr>
              <w:t>Design</w:t>
            </w:r>
          </w:p>
        </w:tc>
        <w:tc>
          <w:tcPr>
            <w:tcW w:type="dxa" w:w="377"/>
            <w:shd w:val="clear" w:color="auto" w:fill="E8E8E8"/>
          </w:tcPr>
          <w:p>
            <w:pPr>
              <w:spacing w:after="20" w:before="20"/>
              <w:jc w:val="right"/>
            </w:pPr>
            <w:r>
              <w:rPr>
                <w:rFonts w:ascii="Times New Roman" w:hAnsi="Times New Roman"/>
                <w:b/>
                <w:i w:val="0"/>
                <w:sz w:val="17"/>
              </w:rPr>
              <w:t>Runs</w:t>
            </w:r>
          </w:p>
        </w:tc>
      </w:tr>
      <w:tr>
        <w:tc>
          <w:tcPr>
            <w:tcW w:type="dxa" w:w="1759"/>
          </w:tcPr>
          <w:p>
            <w:pPr>
              <w:spacing w:after="20" w:before="20"/>
              <w:jc w:val="left"/>
            </w:pPr>
            <w:r>
              <w:rPr>
                <w:rFonts w:ascii="Consolas" w:hAnsi="Consolas"/>
                <w:b w:val="0"/>
                <w:i w:val="0"/>
                <w:color w:val="8B1A1A"/>
                <w:sz w:val="17"/>
              </w:rPr>
              <w:t>azure_d4s_v6</w:t>
            </w:r>
          </w:p>
        </w:tc>
        <w:tc>
          <w:tcPr>
            <w:tcW w:type="dxa" w:w="3455"/>
          </w:tcPr>
          <w:p>
            <w:pPr>
              <w:spacing w:after="20" w:before="20"/>
              <w:jc w:val="left"/>
            </w:pPr>
            <w:r>
              <w:rPr>
                <w:rFonts w:ascii="Consolas" w:hAnsi="Consolas"/>
                <w:b w:val="0"/>
                <w:i w:val="0"/>
                <w:color w:val="8B1A1A"/>
                <w:sz w:val="17"/>
              </w:rPr>
              <w:t>Standard_D4s_v6</w:t>
            </w:r>
            <w:r>
              <w:rPr>
                <w:rFonts w:ascii="Times New Roman" w:hAnsi="Times New Roman"/>
                <w:b w:val="0"/>
                <w:i w:val="0"/>
                <w:sz w:val="17"/>
              </w:rPr>
              <w:t>, 4 vCPU / 16 GB, Central India</w:t>
            </w:r>
          </w:p>
        </w:tc>
        <w:tc>
          <w:tcPr>
            <w:tcW w:type="dxa" w:w="3769"/>
          </w:tcPr>
          <w:p>
            <w:pPr>
              <w:spacing w:after="20" w:before="20"/>
              <w:jc w:val="left"/>
            </w:pPr>
            <w:r>
              <w:rPr>
                <w:rFonts w:ascii="Times New Roman" w:hAnsi="Times New Roman"/>
                <w:b w:val="0"/>
                <w:i w:val="0"/>
                <w:sz w:val="17"/>
              </w:rPr>
              <w:t>6 strategies × 8 concurrency (100–1000) × 30 blocks, mixed workload</w:t>
            </w:r>
          </w:p>
        </w:tc>
        <w:tc>
          <w:tcPr>
            <w:tcW w:type="dxa" w:w="377"/>
          </w:tcPr>
          <w:p>
            <w:pPr>
              <w:spacing w:after="20" w:before="20"/>
              <w:jc w:val="right"/>
            </w:pPr>
            <w:r>
              <w:rPr>
                <w:rFonts w:ascii="Times New Roman" w:hAnsi="Times New Roman"/>
                <w:b w:val="0"/>
                <w:i w:val="0"/>
                <w:sz w:val="17"/>
              </w:rPr>
              <w:t>1,440</w:t>
            </w:r>
          </w:p>
        </w:tc>
      </w:tr>
      <w:tr>
        <w:tc>
          <w:tcPr>
            <w:tcW w:type="dxa" w:w="1759"/>
          </w:tcPr>
          <w:p>
            <w:pPr>
              <w:spacing w:after="20" w:before="20"/>
              <w:jc w:val="left"/>
            </w:pPr>
            <w:r>
              <w:rPr>
                <w:rFonts w:ascii="Consolas" w:hAnsi="Consolas"/>
                <w:b w:val="0"/>
                <w:i w:val="0"/>
                <w:color w:val="8B1A1A"/>
                <w:sz w:val="17"/>
              </w:rPr>
              <w:t>azure_d8s_v6</w:t>
            </w:r>
            <w:r>
              <w:rPr>
                <w:rFonts w:ascii="Times New Roman" w:hAnsi="Times New Roman"/>
                <w:b w:val="0"/>
                <w:i w:val="0"/>
                <w:sz w:val="17"/>
              </w:rPr>
              <w:t xml:space="preserve"> (pooled)</w:t>
            </w:r>
          </w:p>
        </w:tc>
        <w:tc>
          <w:tcPr>
            <w:tcW w:type="dxa" w:w="3455"/>
          </w:tcPr>
          <w:p>
            <w:pPr>
              <w:spacing w:after="20" w:before="20"/>
              <w:jc w:val="left"/>
            </w:pPr>
            <w:r>
              <w:rPr>
                <w:rFonts w:ascii="Consolas" w:hAnsi="Consolas"/>
                <w:b w:val="0"/>
                <w:i w:val="0"/>
                <w:color w:val="8B1A1A"/>
                <w:sz w:val="17"/>
              </w:rPr>
              <w:t>Standard_D8s_v6</w:t>
            </w:r>
            <w:r>
              <w:rPr>
                <w:rFonts w:ascii="Times New Roman" w:hAnsi="Times New Roman"/>
                <w:b w:val="0"/>
                <w:i w:val="0"/>
                <w:sz w:val="17"/>
              </w:rPr>
              <w:t>, 8 vCPU / 32 GB, 5 VMs across 3 regions</w:t>
            </w:r>
          </w:p>
        </w:tc>
        <w:tc>
          <w:tcPr>
            <w:tcW w:type="dxa" w:w="3769"/>
          </w:tcPr>
          <w:p>
            <w:pPr>
              <w:spacing w:after="20" w:before="20"/>
              <w:jc w:val="left"/>
            </w:pPr>
            <w:r>
              <w:rPr>
                <w:rFonts w:ascii="Times New Roman" w:hAnsi="Times New Roman"/>
                <w:b w:val="0"/>
                <w:i w:val="0"/>
                <w:sz w:val="17"/>
              </w:rPr>
              <w:t xml:space="preserve">6 strategies × 8 concurrency (100–3000) × 3 workloads × 15 blocks, </w:t>
            </w:r>
            <w:r>
              <w:rPr>
                <w:rFonts w:ascii="Times New Roman" w:hAnsi="Times New Roman"/>
                <w:b/>
                <w:i w:val="0"/>
                <w:sz w:val="17"/>
              </w:rPr>
              <w:t>× 11 independent runs</w:t>
            </w:r>
          </w:p>
        </w:tc>
        <w:tc>
          <w:tcPr>
            <w:tcW w:type="dxa" w:w="377"/>
          </w:tcPr>
          <w:p>
            <w:pPr>
              <w:spacing w:after="20" w:before="20"/>
              <w:jc w:val="right"/>
            </w:pPr>
            <w:r>
              <w:rPr>
                <w:rFonts w:ascii="Times New Roman" w:hAnsi="Times New Roman"/>
                <w:b w:val="0"/>
                <w:i w:val="0"/>
                <w:sz w:val="17"/>
              </w:rPr>
              <w:t>23,760</w:t>
            </w:r>
          </w:p>
        </w:tc>
      </w:tr>
      <w:tr>
        <w:tc>
          <w:tcPr>
            <w:tcW w:type="dxa" w:w="1759"/>
          </w:tcPr>
          <w:p>
            <w:pPr>
              <w:spacing w:after="20" w:before="20"/>
              <w:jc w:val="left"/>
            </w:pPr>
            <w:r>
              <w:rPr>
                <w:rFonts w:ascii="Consolas" w:hAnsi="Consolas"/>
                <w:b w:val="0"/>
                <w:i w:val="0"/>
                <w:color w:val="8B1A1A"/>
                <w:sz w:val="17"/>
              </w:rPr>
              <w:t>azure_d8s_v6_followup</w:t>
            </w:r>
            <w:r>
              <w:rPr>
                <w:rFonts w:ascii="Times New Roman" w:hAnsi="Times New Roman"/>
                <w:b w:val="0"/>
                <w:i w:val="0"/>
                <w:sz w:val="17"/>
              </w:rPr>
              <w:t xml:space="preserve"> (§5.4)</w:t>
            </w:r>
          </w:p>
        </w:tc>
        <w:tc>
          <w:tcPr>
            <w:tcW w:type="dxa" w:w="3455"/>
          </w:tcPr>
          <w:p>
            <w:pPr>
              <w:spacing w:after="20" w:before="20"/>
              <w:jc w:val="left"/>
            </w:pPr>
            <w:r>
              <w:rPr>
                <w:rFonts w:ascii="Consolas" w:hAnsi="Consolas"/>
                <w:b w:val="0"/>
                <w:i w:val="0"/>
                <w:color w:val="8B1A1A"/>
                <w:sz w:val="17"/>
              </w:rPr>
              <w:t>Standard_D8s_v6</w:t>
            </w:r>
            <w:r>
              <w:rPr>
                <w:rFonts w:ascii="Times New Roman" w:hAnsi="Times New Roman"/>
                <w:b w:val="0"/>
                <w:i w:val="0"/>
                <w:sz w:val="17"/>
              </w:rPr>
              <w:t>, 8 VMs across 3 regions</w:t>
            </w:r>
          </w:p>
        </w:tc>
        <w:tc>
          <w:tcPr>
            <w:tcW w:type="dxa" w:w="3769"/>
          </w:tcPr>
          <w:p>
            <w:pPr>
              <w:spacing w:after="20" w:before="20"/>
              <w:jc w:val="left"/>
            </w:pPr>
            <w:r>
              <w:rPr>
                <w:rFonts w:ascii="Times New Roman" w:hAnsi="Times New Roman"/>
                <w:b w:val="0"/>
                <w:i w:val="0"/>
                <w:sz w:val="17"/>
              </w:rPr>
              <w:t xml:space="preserve">12 strategy configs (incl. a 5-point cardinality sweep) × 3 concurrency × 1 workload × 15 blocks, </w:t>
            </w:r>
            <w:r>
              <w:rPr>
                <w:rFonts w:ascii="Times New Roman" w:hAnsi="Times New Roman"/>
                <w:b/>
                <w:i w:val="0"/>
                <w:sz w:val="17"/>
              </w:rPr>
              <w:t>× 8 independent runs</w:t>
            </w:r>
          </w:p>
        </w:tc>
        <w:tc>
          <w:tcPr>
            <w:tcW w:type="dxa" w:w="377"/>
          </w:tcPr>
          <w:p>
            <w:pPr>
              <w:spacing w:after="20" w:before="20"/>
              <w:jc w:val="right"/>
            </w:pPr>
            <w:r>
              <w:rPr>
                <w:rFonts w:ascii="Times New Roman" w:hAnsi="Times New Roman"/>
                <w:b w:val="0"/>
                <w:i w:val="0"/>
                <w:sz w:val="17"/>
              </w:rPr>
              <w:t>4,320</w:t>
            </w:r>
          </w:p>
        </w:tc>
      </w:tr>
    </w:tbl>
    <w:p>
      <w:pPr>
        <w:spacing w:after="40"/>
      </w:pPr>
    </w:p>
    <w:p>
      <w:pPr>
        <w:jc w:val="both"/>
      </w:pPr>
      <w:r>
        <w:rPr>
          <w:rFonts w:ascii="Times New Roman" w:hAnsi="Times New Roman"/>
          <w:b/>
          <w:i w:val="0"/>
          <w:sz w:val="21"/>
        </w:rPr>
        <w:t>29,520 runs in total</w:t>
      </w:r>
      <w:r>
        <w:rPr>
          <w:rFonts w:ascii="Times New Roman" w:hAnsi="Times New Roman"/>
          <w:b w:val="0"/>
          <w:i w:val="0"/>
          <w:sz w:val="21"/>
        </w:rPr>
        <w:t xml:space="preserve">, of which 25,200 are the main design and 4,320 the axis-separation experiment of §5.4. Each VM was provisioned solely for the benchmark and deleted afterwards; nothing else ran on it. The eleven D8s_v6 runs use distinct random seeds across five separately-provisioned VMs in three regions: the initial validation run on its own Central India VM, then runs 01-10 distributed over two further Central India VMs, one South India VM, and one West US 3 VM. All eleven report the same processor (Intel Xeon Platinum 8573C), so the pooled dataset is homogeneous in microarchitecture and varies only in instance, region, and date. Workloads are 50/50 mixed, 80/20 read-heavy, and 20/80 write-heavy over a 10,000-key space with 64-byte values. Pooling offsets each run's </w:t>
      </w:r>
      <w:r>
        <w:rPr>
          <w:rFonts w:ascii="Consolas" w:hAnsi="Consolas"/>
          <w:b w:val="0"/>
          <w:i w:val="0"/>
          <w:color w:val="8B1A1A"/>
          <w:sz w:val="17"/>
        </w:rPr>
        <w:t>block_id</w:t>
      </w:r>
      <w:r>
        <w:rPr>
          <w:rFonts w:ascii="Times New Roman" w:hAnsi="Times New Roman"/>
          <w:b w:val="0"/>
          <w:i w:val="0"/>
          <w:sz w:val="21"/>
        </w:rPr>
        <w:t xml:space="preserve"> so paired comparisons never mix blocks from different VMs.</w:t>
      </w:r>
    </w:p>
    <w:p>
      <w:pPr>
        <w:pStyle w:val="Heading2"/>
      </w:pPr>
      <w:r>
        <w:rPr>
          <w:rFonts w:ascii="Times New Roman" w:hAnsi="Times New Roman"/>
          <w:b/>
          <w:i w:val="0"/>
          <w:color w:val="000000"/>
          <w:sz w:val="26"/>
        </w:rPr>
        <w:t>4.3 Inference</w:t>
      </w:r>
    </w:p>
    <w:p>
      <w:pPr>
        <w:jc w:val="both"/>
      </w:pPr>
      <w:r>
        <w:rPr>
          <w:rFonts w:ascii="Times New Roman" w:hAnsi="Times New Roman"/>
          <w:b w:val="0"/>
          <w:i w:val="0"/>
          <w:sz w:val="21"/>
        </w:rPr>
        <w:t xml:space="preserve">For the pooled dataset the 165 blocks per cell are </w:t>
      </w:r>
      <w:r>
        <w:rPr>
          <w:rFonts w:ascii="Times New Roman" w:hAnsi="Times New Roman"/>
          <w:b/>
          <w:i w:val="0"/>
          <w:sz w:val="21"/>
        </w:rPr>
        <w:t>11 independent runs × 15 correlated within-run blocks</w:t>
      </w:r>
      <w:r>
        <w:rPr>
          <w:rFonts w:ascii="Times New Roman" w:hAnsi="Times New Roman"/>
          <w:b w:val="0"/>
          <w:i w:val="0"/>
          <w:sz w:val="21"/>
        </w:rPr>
        <w:t xml:space="preserve">, not 165 independent samples: blocks from one run share that VM's hardware, neighbours, and network path. Treating them as independent would overstate precision by roughly 20% on this data. Every interval we report for the pooled dataset therefore </w:t>
      </w:r>
      <w:r>
        <w:rPr>
          <w:rFonts w:ascii="Times New Roman" w:hAnsi="Times New Roman"/>
          <w:b/>
          <w:i w:val="0"/>
          <w:sz w:val="21"/>
        </w:rPr>
        <w:t>clusters on the run</w:t>
      </w:r>
      <w:r>
        <w:rPr>
          <w:rFonts w:ascii="Times New Roman" w:hAnsi="Times New Roman"/>
          <w:b w:val="0"/>
          <w:i w:val="0"/>
          <w:sz w:val="21"/>
        </w:rPr>
        <w:t xml:space="preserve">: per-block values are collapsed to one mean per run, and a </w:t>
      </w:r>
      <w:r>
        <w:rPr>
          <w:rFonts w:ascii="Times New Roman" w:hAnsi="Times New Roman"/>
          <w:b w:val="0"/>
          <w:i/>
          <w:sz w:val="21"/>
        </w:rPr>
        <w:t>t</w:t>
      </w:r>
      <w:r>
        <w:rPr>
          <w:rFonts w:ascii="Times New Roman" w:hAnsi="Times New Roman"/>
          <w:b w:val="0"/>
          <w:i w:val="0"/>
          <w:sz w:val="21"/>
        </w:rPr>
        <w:t>-interval with 10 degrees of freedom is formed over those eleven numbers. Directional claims are additionally checked with an exact two-sided sign test over the eleven runs, which assumes nothing about the distribution of the effect.</w:t>
      </w:r>
    </w:p>
    <w:p>
      <w:pPr>
        <w:jc w:val="both"/>
      </w:pPr>
      <w:r>
        <w:rPr>
          <w:rFonts w:ascii="Times New Roman" w:hAnsi="Times New Roman"/>
          <w:b w:val="0"/>
          <w:i w:val="0"/>
          <w:sz w:val="21"/>
        </w:rPr>
        <w:t>The single-run D4s_v6 dataset has no run-level replication, so its intervals bootstrap over that run's 30 repetition blocks (20,000 resamples) and are not directly comparable in strength to the pooled intervals.</w:t>
      </w:r>
    </w:p>
    <w:p>
      <w:pPr>
        <w:jc w:val="both"/>
      </w:pPr>
      <w:r>
        <w:rPr>
          <w:rFonts w:ascii="Times New Roman" w:hAnsi="Times New Roman"/>
          <w:b w:val="0"/>
          <w:i w:val="0"/>
          <w:sz w:val="21"/>
        </w:rPr>
        <w:t xml:space="preserve">Slopes against concurrency (§5.2) are fitted </w:t>
      </w:r>
      <w:r>
        <w:rPr>
          <w:rFonts w:ascii="Times New Roman" w:hAnsi="Times New Roman"/>
          <w:b w:val="0"/>
          <w:i/>
          <w:sz w:val="21"/>
        </w:rPr>
        <w:t>within</w:t>
      </w:r>
      <w:r>
        <w:rPr>
          <w:rFonts w:ascii="Times New Roman" w:hAnsi="Times New Roman"/>
          <w:b w:val="0"/>
          <w:i w:val="0"/>
          <w:sz w:val="21"/>
        </w:rPr>
        <w:t xml:space="preserve"> each run and then averaged across runs, so between-run level differences cannot leak into the slope.</w:t>
      </w:r>
    </w:p>
    <w:p>
      <w:pPr>
        <w:pStyle w:val="Heading2"/>
      </w:pPr>
      <w:r>
        <w:rPr>
          <w:rFonts w:ascii="Times New Roman" w:hAnsi="Times New Roman"/>
          <w:b/>
          <w:i w:val="0"/>
          <w:color w:val="000000"/>
          <w:sz w:val="26"/>
        </w:rPr>
        <w:t>4.4 A failure mode worth recording</w:t>
      </w:r>
    </w:p>
    <w:p>
      <w:pPr>
        <w:jc w:val="both"/>
      </w:pPr>
      <w:r>
        <w:rPr>
          <w:rFonts w:ascii="Times New Roman" w:hAnsi="Times New Roman"/>
          <w:b w:val="0"/>
          <w:i w:val="0"/>
          <w:sz w:val="21"/>
        </w:rPr>
        <w:t xml:space="preserve">The first attempt at the D8s_v6 design reported exactly </w:t>
      </w:r>
      <w:r>
        <w:rPr>
          <w:rFonts w:ascii="Consolas" w:hAnsi="Consolas"/>
          <w:b w:val="0"/>
          <w:i w:val="0"/>
          <w:color w:val="8B1A1A"/>
          <w:sz w:val="17"/>
        </w:rPr>
        <w:t>0 ops/sec</w:t>
      </w:r>
      <w:r>
        <w:rPr>
          <w:rFonts w:ascii="Times New Roman" w:hAnsi="Times New Roman"/>
          <w:b w:val="0"/>
          <w:i w:val="0"/>
          <w:sz w:val="21"/>
        </w:rPr>
        <w:t xml:space="preserve"> for every configuration above ~1000 clients, with return code 0 and well-formed output. The cause was the default open-file-descriptor limit (1024) on a fresh VM, far below the tested concurrency; every client connection failed and the client counted the failures internally rather than aborting. The runner now raises </w:t>
      </w:r>
      <w:r>
        <w:rPr>
          <w:rFonts w:ascii="Consolas" w:hAnsi="Consolas"/>
          <w:b w:val="0"/>
          <w:i w:val="0"/>
          <w:color w:val="8B1A1A"/>
          <w:sz w:val="17"/>
        </w:rPr>
        <w:t>RLIMIT_NOFILE</w:t>
      </w:r>
      <w:r>
        <w:rPr>
          <w:rFonts w:ascii="Times New Roman" w:hAnsi="Times New Roman"/>
          <w:b w:val="0"/>
          <w:i w:val="0"/>
          <w:sz w:val="21"/>
        </w:rPr>
        <w:t xml:space="preserve"> at startup and warns if the achieved limit cannot cover the requested concurrency. We record this because it is the </w:t>
      </w:r>
      <w:r>
        <w:rPr>
          <w:rFonts w:ascii="Times New Roman" w:hAnsi="Times New Roman"/>
          <w:b w:val="0"/>
          <w:i/>
          <w:sz w:val="21"/>
        </w:rPr>
        <w:t>inverse</w:t>
      </w:r>
      <w:r>
        <w:rPr>
          <w:rFonts w:ascii="Times New Roman" w:hAnsi="Times New Roman"/>
          <w:b w:val="0"/>
          <w:i w:val="0"/>
          <w:sz w:val="21"/>
        </w:rPr>
        <w:t xml:space="preserve"> of the failure RMIT defends against: randomizing order protects against noisy, drifting confounds, whereas this was a systematic failure producing suspiciously </w:t>
      </w:r>
      <w:r>
        <w:rPr>
          <w:rFonts w:ascii="Times New Roman" w:hAnsi="Times New Roman"/>
          <w:b w:val="0"/>
          <w:i/>
          <w:sz w:val="21"/>
        </w:rPr>
        <w:t>clean</w:t>
      </w:r>
      <w:r>
        <w:rPr>
          <w:rFonts w:ascii="Times New Roman" w:hAnsi="Times New Roman"/>
          <w:b w:val="0"/>
          <w:i w:val="0"/>
          <w:sz w:val="21"/>
        </w:rPr>
        <w:t xml:space="preserve"> and </w:t>
      </w:r>
      <w:r>
        <w:rPr>
          <w:rFonts w:ascii="Times New Roman" w:hAnsi="Times New Roman"/>
          <w:b w:val="0"/>
          <w:i/>
          <w:sz w:val="21"/>
        </w:rPr>
        <w:t>consistent</w:t>
      </w:r>
      <w:r>
        <w:rPr>
          <w:rFonts w:ascii="Times New Roman" w:hAnsi="Times New Roman"/>
          <w:b w:val="0"/>
          <w:i w:val="0"/>
          <w:sz w:val="21"/>
        </w:rPr>
        <w:t xml:space="preserve"> numbers. No experimental design substitutes for reading a small dry run's raw per-sample output.</w:t>
      </w:r>
    </w:p>
    <w:p>
      <w:pPr>
        <w:spacing w:before="40" w:after="160"/>
        <w:pBdr>
          <w:bottom w:val="single" w:sz="6" w:space="1" w:color="AAAAAA"/>
        </w:pBdr>
      </w:pPr>
    </w:p>
    <w:p>
      <w:pPr>
        <w:pStyle w:val="Heading1"/>
      </w:pPr>
      <w:r>
        <w:rPr>
          <w:rFonts w:ascii="Times New Roman" w:hAnsi="Times New Roman"/>
          <w:b/>
          <w:i w:val="0"/>
          <w:color w:val="000000"/>
          <w:sz w:val="32"/>
        </w:rPr>
        <w:t>5. Results</w:t>
      </w:r>
    </w:p>
    <w:p>
      <w:pPr>
        <w:jc w:val="both"/>
      </w:pPr>
      <w:r>
        <w:rPr>
          <w:rFonts w:ascii="Times New Roman" w:hAnsi="Times New Roman"/>
          <w:b w:val="0"/>
          <w:i w:val="0"/>
          <w:sz w:val="21"/>
        </w:rPr>
        <w:t xml:space="preserve">Unless stated otherwise, results are from the 11-run pooled D8s_v6 dataset (3,960 complete blocks × 6 strategies), intervals are 95% and clustered on the eleven runs, and "pp" denotes percentage points of throughput relative to </w:t>
      </w:r>
      <w:r>
        <w:rPr>
          <w:rFonts w:ascii="Consolas" w:hAnsi="Consolas"/>
          <w:b w:val="0"/>
          <w:i w:val="0"/>
          <w:color w:val="8B1A1A"/>
          <w:sz w:val="17"/>
        </w:rPr>
        <w:t>disabled</w:t>
      </w:r>
      <w:r>
        <w:rPr>
          <w:rFonts w:ascii="Times New Roman" w:hAnsi="Times New Roman"/>
          <w:b w:val="0"/>
          <w:i w:val="0"/>
          <w:sz w:val="21"/>
        </w:rPr>
        <w:t>.</w:t>
      </w:r>
    </w:p>
    <w:p>
      <w:pPr>
        <w:pStyle w:val="Heading2"/>
      </w:pPr>
      <w:r>
        <w:rPr>
          <w:rFonts w:ascii="Times New Roman" w:hAnsi="Times New Roman"/>
          <w:b/>
          <w:i w:val="0"/>
          <w:color w:val="000000"/>
          <w:sz w:val="26"/>
        </w:rPr>
        <w:t>5.0 The strategy ranking depends on the budget metric</w:t>
      </w:r>
    </w:p>
    <w:p>
      <w:pPr>
        <w:jc w:val="both"/>
      </w:pPr>
      <w:r>
        <w:rPr>
          <w:rFonts w:ascii="Times New Roman" w:hAnsi="Times New Roman"/>
          <w:b w:val="0"/>
          <w:i w:val="0"/>
          <w:sz w:val="21"/>
        </w:rPr>
        <w:t>Before decomposing, Table 1 prices each strategy under four budget metrics.</w:t>
      </w:r>
    </w:p>
    <w:p>
      <w:pPr>
        <w:jc w:val="both"/>
      </w:pPr>
      <w:r>
        <w:rPr>
          <w:rFonts w:ascii="Times New Roman" w:hAnsi="Times New Roman"/>
          <w:b/>
          <w:i w:val="0"/>
          <w:sz w:val="21"/>
        </w:rPr>
        <w:t>Table 1.</w:t>
      </w:r>
      <w:r>
        <w:rPr>
          <w:rFonts w:ascii="Times New Roman" w:hAnsi="Times New Roman"/>
          <w:b w:val="0"/>
          <w:i w:val="0"/>
          <w:sz w:val="21"/>
        </w:rPr>
        <w:t xml:space="preserve"> Cost of each strategy versus </w:t>
      </w:r>
      <w:r>
        <w:rPr>
          <w:rFonts w:ascii="Consolas" w:hAnsi="Consolas"/>
          <w:b w:val="0"/>
          <w:i w:val="0"/>
          <w:color w:val="8B1A1A"/>
          <w:sz w:val="17"/>
        </w:rPr>
        <w:t>disabled</w:t>
      </w:r>
      <w:r>
        <w:rPr>
          <w:rFonts w:ascii="Times New Roman" w:hAnsi="Times New Roman"/>
          <w:b w:val="0"/>
          <w:i w:val="0"/>
          <w:sz w:val="21"/>
        </w:rPr>
        <w:t>, by budget metric (%, paired within block; 95% CI clustered on 11 runs).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04"/>
            <w:shd w:val="clear" w:color="auto" w:fill="E8E8E8"/>
          </w:tcPr>
          <w:p>
            <w:pPr>
              <w:spacing w:after="20" w:before="20"/>
              <w:jc w:val="left"/>
            </w:pPr>
            <w:r>
              <w:rPr>
                <w:rFonts w:ascii="Times New Roman" w:hAnsi="Times New Roman"/>
                <w:b/>
                <w:i w:val="0"/>
                <w:sz w:val="17"/>
              </w:rPr>
              <w:t>Strategy</w:t>
            </w:r>
          </w:p>
        </w:tc>
        <w:tc>
          <w:tcPr>
            <w:tcW w:type="dxa" w:w="1989"/>
            <w:shd w:val="clear" w:color="auto" w:fill="E8E8E8"/>
          </w:tcPr>
          <w:p>
            <w:pPr>
              <w:spacing w:after="20" w:before="20"/>
              <w:jc w:val="left"/>
            </w:pPr>
            <w:r>
              <w:rPr>
                <w:rFonts w:ascii="Times New Roman" w:hAnsi="Times New Roman"/>
                <w:b/>
                <w:i w:val="0"/>
                <w:sz w:val="17"/>
              </w:rPr>
              <w:t>Throughput</w:t>
            </w:r>
          </w:p>
        </w:tc>
        <w:tc>
          <w:tcPr>
            <w:tcW w:type="dxa" w:w="1989"/>
            <w:shd w:val="clear" w:color="auto" w:fill="E8E8E8"/>
          </w:tcPr>
          <w:p>
            <w:pPr>
              <w:spacing w:after="20" w:before="20"/>
              <w:jc w:val="left"/>
            </w:pPr>
            <w:r>
              <w:rPr>
                <w:rFonts w:ascii="Times New Roman" w:hAnsi="Times New Roman"/>
                <w:b/>
                <w:i w:val="0"/>
                <w:sz w:val="17"/>
              </w:rPr>
              <w:t>Mean latency</w:t>
            </w:r>
          </w:p>
        </w:tc>
        <w:tc>
          <w:tcPr>
            <w:tcW w:type="dxa" w:w="1989"/>
            <w:shd w:val="clear" w:color="auto" w:fill="E8E8E8"/>
          </w:tcPr>
          <w:p>
            <w:pPr>
              <w:spacing w:after="20" w:before="20"/>
              <w:jc w:val="left"/>
            </w:pPr>
            <w:r>
              <w:rPr>
                <w:rFonts w:ascii="Times New Roman" w:hAnsi="Times New Roman"/>
                <w:b/>
                <w:i w:val="0"/>
                <w:sz w:val="17"/>
              </w:rPr>
              <w:t>p50 latency</w:t>
            </w:r>
          </w:p>
        </w:tc>
        <w:tc>
          <w:tcPr>
            <w:tcW w:type="dxa" w:w="1989"/>
            <w:shd w:val="clear" w:color="auto" w:fill="E8E8E8"/>
          </w:tcPr>
          <w:p>
            <w:pPr>
              <w:spacing w:after="20" w:before="20"/>
              <w:jc w:val="left"/>
            </w:pPr>
            <w:r>
              <w:rPr>
                <w:rFonts w:ascii="Times New Roman" w:hAnsi="Times New Roman"/>
                <w:b/>
                <w:i w:val="0"/>
                <w:sz w:val="17"/>
              </w:rPr>
              <w:t>p99 latency</w:t>
            </w:r>
          </w:p>
        </w:tc>
      </w:tr>
      <w:tr>
        <w:tc>
          <w:tcPr>
            <w:tcW w:type="dxa" w:w="1404"/>
          </w:tcPr>
          <w:p>
            <w:pPr>
              <w:spacing w:after="20" w:before="20"/>
              <w:jc w:val="left"/>
            </w:pPr>
            <w:r>
              <w:rPr>
                <w:rFonts w:ascii="Times New Roman" w:hAnsi="Times New Roman"/>
                <w:b w:val="0"/>
                <w:i w:val="0"/>
                <w:sz w:val="17"/>
              </w:rPr>
              <w:t>ThreadLocal</w:t>
            </w:r>
          </w:p>
        </w:tc>
        <w:tc>
          <w:tcPr>
            <w:tcW w:type="dxa" w:w="1989"/>
          </w:tcPr>
          <w:p>
            <w:pPr>
              <w:spacing w:after="20" w:before="20"/>
              <w:jc w:val="left"/>
            </w:pPr>
            <w:r>
              <w:rPr>
                <w:rFonts w:ascii="Times New Roman" w:hAnsi="Times New Roman"/>
                <w:b w:val="0"/>
                <w:i w:val="0"/>
                <w:sz w:val="17"/>
              </w:rPr>
              <w:t>0.53 [0.42, 0.65]</w:t>
            </w:r>
          </w:p>
        </w:tc>
        <w:tc>
          <w:tcPr>
            <w:tcW w:type="dxa" w:w="1989"/>
          </w:tcPr>
          <w:p>
            <w:pPr>
              <w:spacing w:after="20" w:before="20"/>
              <w:jc w:val="left"/>
            </w:pPr>
            <w:r>
              <w:rPr>
                <w:rFonts w:ascii="Times New Roman" w:hAnsi="Times New Roman"/>
                <w:b w:val="0"/>
                <w:i w:val="0"/>
                <w:sz w:val="17"/>
              </w:rPr>
              <w:t>0.62 [0.50, 0.74]</w:t>
            </w:r>
          </w:p>
        </w:tc>
        <w:tc>
          <w:tcPr>
            <w:tcW w:type="dxa" w:w="1989"/>
          </w:tcPr>
          <w:p>
            <w:pPr>
              <w:spacing w:after="20" w:before="20"/>
              <w:jc w:val="left"/>
            </w:pPr>
            <w:r>
              <w:rPr>
                <w:rFonts w:ascii="Times New Roman" w:hAnsi="Times New Roman"/>
                <w:b w:val="0"/>
                <w:i w:val="0"/>
                <w:sz w:val="17"/>
              </w:rPr>
              <w:t>0.72 [0.58, 0.85]</w:t>
            </w:r>
          </w:p>
        </w:tc>
        <w:tc>
          <w:tcPr>
            <w:tcW w:type="dxa" w:w="1989"/>
          </w:tcPr>
          <w:p>
            <w:pPr>
              <w:spacing w:after="20" w:before="20"/>
              <w:jc w:val="left"/>
            </w:pPr>
            <w:r>
              <w:rPr>
                <w:rFonts w:ascii="Times New Roman" w:hAnsi="Times New Roman"/>
                <w:b w:val="0"/>
                <w:i w:val="0"/>
                <w:sz w:val="17"/>
              </w:rPr>
              <w:t>0.43 [0.22, 0.64]</w:t>
            </w:r>
          </w:p>
        </w:tc>
      </w:tr>
      <w:tr>
        <w:tc>
          <w:tcPr>
            <w:tcW w:type="dxa" w:w="1404"/>
          </w:tcPr>
          <w:p>
            <w:pPr>
              <w:spacing w:after="20" w:before="20"/>
              <w:jc w:val="left"/>
            </w:pPr>
            <w:r>
              <w:rPr>
                <w:rFonts w:ascii="Times New Roman" w:hAnsi="Times New Roman"/>
                <w:b w:val="0"/>
                <w:i w:val="0"/>
                <w:sz w:val="17"/>
              </w:rPr>
              <w:t>Sharded-2key</w:t>
            </w:r>
          </w:p>
        </w:tc>
        <w:tc>
          <w:tcPr>
            <w:tcW w:type="dxa" w:w="1989"/>
          </w:tcPr>
          <w:p>
            <w:pPr>
              <w:spacing w:after="20" w:before="20"/>
              <w:jc w:val="left"/>
            </w:pPr>
            <w:r>
              <w:rPr>
                <w:rFonts w:ascii="Times New Roman" w:hAnsi="Times New Roman"/>
                <w:b w:val="0"/>
                <w:i w:val="0"/>
                <w:sz w:val="17"/>
              </w:rPr>
              <w:t>0.84 [0.77, 0.92]</w:t>
            </w:r>
          </w:p>
        </w:tc>
        <w:tc>
          <w:tcPr>
            <w:tcW w:type="dxa" w:w="1989"/>
          </w:tcPr>
          <w:p>
            <w:pPr>
              <w:spacing w:after="20" w:before="20"/>
              <w:jc w:val="left"/>
            </w:pPr>
            <w:r>
              <w:rPr>
                <w:rFonts w:ascii="Times New Roman" w:hAnsi="Times New Roman"/>
                <w:b w:val="0"/>
                <w:i w:val="0"/>
                <w:sz w:val="17"/>
              </w:rPr>
              <w:t>0.94 [0.86, 1.01]</w:t>
            </w:r>
          </w:p>
        </w:tc>
        <w:tc>
          <w:tcPr>
            <w:tcW w:type="dxa" w:w="1989"/>
          </w:tcPr>
          <w:p>
            <w:pPr>
              <w:spacing w:after="20" w:before="20"/>
              <w:jc w:val="left"/>
            </w:pPr>
            <w:r>
              <w:rPr>
                <w:rFonts w:ascii="Times New Roman" w:hAnsi="Times New Roman"/>
                <w:b w:val="0"/>
                <w:i w:val="0"/>
                <w:sz w:val="17"/>
              </w:rPr>
              <w:t>1.13 [1.03, 1.23]</w:t>
            </w:r>
          </w:p>
        </w:tc>
        <w:tc>
          <w:tcPr>
            <w:tcW w:type="dxa" w:w="1989"/>
          </w:tcPr>
          <w:p>
            <w:pPr>
              <w:spacing w:after="20" w:before="20"/>
              <w:jc w:val="left"/>
            </w:pPr>
            <w:r>
              <w:rPr>
                <w:rFonts w:ascii="Times New Roman" w:hAnsi="Times New Roman"/>
                <w:b w:val="0"/>
                <w:i w:val="0"/>
                <w:sz w:val="17"/>
              </w:rPr>
              <w:t>0.54 [0.31, 0.77]</w:t>
            </w:r>
          </w:p>
        </w:tc>
      </w:tr>
      <w:tr>
        <w:tc>
          <w:tcPr>
            <w:tcW w:type="dxa" w:w="1404"/>
          </w:tcPr>
          <w:p>
            <w:pPr>
              <w:spacing w:after="20" w:before="20"/>
              <w:jc w:val="left"/>
            </w:pPr>
            <w:r>
              <w:rPr>
                <w:rFonts w:ascii="Times New Roman" w:hAnsi="Times New Roman"/>
                <w:b w:val="0"/>
                <w:i w:val="0"/>
                <w:sz w:val="17"/>
              </w:rPr>
              <w:t>GlobalMutex</w:t>
            </w:r>
          </w:p>
        </w:tc>
        <w:tc>
          <w:tcPr>
            <w:tcW w:type="dxa" w:w="1989"/>
          </w:tcPr>
          <w:p>
            <w:pPr>
              <w:spacing w:after="20" w:before="20"/>
              <w:jc w:val="left"/>
            </w:pPr>
            <w:r>
              <w:rPr>
                <w:rFonts w:ascii="Times New Roman" w:hAnsi="Times New Roman"/>
                <w:b w:val="0"/>
                <w:i w:val="0"/>
                <w:sz w:val="17"/>
              </w:rPr>
              <w:t>1.37 [1.27, 1.46]</w:t>
            </w:r>
          </w:p>
        </w:tc>
        <w:tc>
          <w:tcPr>
            <w:tcW w:type="dxa" w:w="1989"/>
          </w:tcPr>
          <w:p>
            <w:pPr>
              <w:spacing w:after="20" w:before="20"/>
              <w:jc w:val="left"/>
            </w:pPr>
            <w:r>
              <w:rPr>
                <w:rFonts w:ascii="Times New Roman" w:hAnsi="Times New Roman"/>
                <w:b w:val="0"/>
                <w:i w:val="0"/>
                <w:sz w:val="17"/>
              </w:rPr>
              <w:t>1.49 [1.39, 1.58]</w:t>
            </w:r>
          </w:p>
        </w:tc>
        <w:tc>
          <w:tcPr>
            <w:tcW w:type="dxa" w:w="1989"/>
          </w:tcPr>
          <w:p>
            <w:pPr>
              <w:spacing w:after="20" w:before="20"/>
              <w:jc w:val="left"/>
            </w:pPr>
            <w:r>
              <w:rPr>
                <w:rFonts w:ascii="Times New Roman" w:hAnsi="Times New Roman"/>
                <w:b w:val="0"/>
                <w:i w:val="0"/>
                <w:sz w:val="17"/>
              </w:rPr>
              <w:t>1.79 [1.71, 1.88]</w:t>
            </w:r>
          </w:p>
        </w:tc>
        <w:tc>
          <w:tcPr>
            <w:tcW w:type="dxa" w:w="1989"/>
          </w:tcPr>
          <w:p>
            <w:pPr>
              <w:spacing w:after="20" w:before="20"/>
              <w:jc w:val="left"/>
            </w:pPr>
            <w:r>
              <w:rPr>
                <w:rFonts w:ascii="Times New Roman" w:hAnsi="Times New Roman"/>
                <w:b w:val="0"/>
                <w:i w:val="0"/>
                <w:sz w:val="17"/>
              </w:rPr>
              <w:t>0.78 [0.54, 1.02]</w:t>
            </w:r>
          </w:p>
        </w:tc>
      </w:tr>
      <w:tr>
        <w:tc>
          <w:tcPr>
            <w:tcW w:type="dxa" w:w="1404"/>
          </w:tcPr>
          <w:p>
            <w:pPr>
              <w:spacing w:after="20" w:before="20"/>
              <w:jc w:val="left"/>
            </w:pPr>
            <w:r>
              <w:rPr>
                <w:rFonts w:ascii="Times New Roman" w:hAnsi="Times New Roman"/>
                <w:b w:val="0"/>
                <w:i w:val="0"/>
                <w:sz w:val="17"/>
              </w:rPr>
              <w:t>HdrHistogram</w:t>
            </w:r>
          </w:p>
        </w:tc>
        <w:tc>
          <w:tcPr>
            <w:tcW w:type="dxa" w:w="1989"/>
          </w:tcPr>
          <w:p>
            <w:pPr>
              <w:spacing w:after="20" w:before="20"/>
              <w:jc w:val="left"/>
            </w:pPr>
            <w:r>
              <w:rPr>
                <w:rFonts w:ascii="Times New Roman" w:hAnsi="Times New Roman"/>
                <w:b w:val="0"/>
                <w:i w:val="0"/>
                <w:sz w:val="17"/>
              </w:rPr>
              <w:t>1.42 [1.32, 1.52]</w:t>
            </w:r>
          </w:p>
        </w:tc>
        <w:tc>
          <w:tcPr>
            <w:tcW w:type="dxa" w:w="1989"/>
          </w:tcPr>
          <w:p>
            <w:pPr>
              <w:spacing w:after="20" w:before="20"/>
              <w:jc w:val="left"/>
            </w:pPr>
            <w:r>
              <w:rPr>
                <w:rFonts w:ascii="Times New Roman" w:hAnsi="Times New Roman"/>
                <w:b w:val="0"/>
                <w:i w:val="0"/>
                <w:sz w:val="17"/>
              </w:rPr>
              <w:t>1.53 [1.42, 1.64]</w:t>
            </w:r>
          </w:p>
        </w:tc>
        <w:tc>
          <w:tcPr>
            <w:tcW w:type="dxa" w:w="1989"/>
          </w:tcPr>
          <w:p>
            <w:pPr>
              <w:spacing w:after="20" w:before="20"/>
              <w:jc w:val="left"/>
            </w:pPr>
            <w:r>
              <w:rPr>
                <w:rFonts w:ascii="Times New Roman" w:hAnsi="Times New Roman"/>
                <w:b w:val="0"/>
                <w:i w:val="0"/>
                <w:sz w:val="17"/>
              </w:rPr>
              <w:t>1.66 [1.56, 1.75]</w:t>
            </w:r>
          </w:p>
        </w:tc>
        <w:tc>
          <w:tcPr>
            <w:tcW w:type="dxa" w:w="1989"/>
          </w:tcPr>
          <w:p>
            <w:pPr>
              <w:spacing w:after="20" w:before="20"/>
              <w:jc w:val="left"/>
            </w:pPr>
            <w:r>
              <w:rPr>
                <w:rFonts w:ascii="Times New Roman" w:hAnsi="Times New Roman"/>
                <w:b/>
                <w:i w:val="0"/>
                <w:sz w:val="17"/>
              </w:rPr>
              <w:t>1.37 [1.09, 1.65]</w:t>
            </w:r>
          </w:p>
        </w:tc>
      </w:tr>
      <w:tr>
        <w:tc>
          <w:tcPr>
            <w:tcW w:type="dxa" w:w="1404"/>
          </w:tcPr>
          <w:p>
            <w:pPr>
              <w:spacing w:after="20" w:before="20"/>
              <w:jc w:val="left"/>
            </w:pPr>
            <w:r>
              <w:rPr>
                <w:rFonts w:ascii="Times New Roman" w:hAnsi="Times New Roman"/>
                <w:b w:val="0"/>
                <w:i w:val="0"/>
                <w:sz w:val="17"/>
              </w:rPr>
              <w:t>Sharded-N</w:t>
            </w:r>
          </w:p>
        </w:tc>
        <w:tc>
          <w:tcPr>
            <w:tcW w:type="dxa" w:w="1989"/>
          </w:tcPr>
          <w:p>
            <w:pPr>
              <w:spacing w:after="20" w:before="20"/>
              <w:jc w:val="left"/>
            </w:pPr>
            <w:r>
              <w:rPr>
                <w:rFonts w:ascii="Times New Roman" w:hAnsi="Times New Roman"/>
                <w:b w:val="0"/>
                <w:i w:val="0"/>
                <w:sz w:val="17"/>
              </w:rPr>
              <w:t>1.71 [1.58, 1.84]</w:t>
            </w:r>
          </w:p>
        </w:tc>
        <w:tc>
          <w:tcPr>
            <w:tcW w:type="dxa" w:w="1989"/>
          </w:tcPr>
          <w:p>
            <w:pPr>
              <w:spacing w:after="20" w:before="20"/>
              <w:jc w:val="left"/>
            </w:pPr>
            <w:r>
              <w:rPr>
                <w:rFonts w:ascii="Times New Roman" w:hAnsi="Times New Roman"/>
                <w:b w:val="0"/>
                <w:i w:val="0"/>
                <w:sz w:val="17"/>
              </w:rPr>
              <w:t>1.85 [1.70, 1.99]</w:t>
            </w:r>
          </w:p>
        </w:tc>
        <w:tc>
          <w:tcPr>
            <w:tcW w:type="dxa" w:w="1989"/>
          </w:tcPr>
          <w:p>
            <w:pPr>
              <w:spacing w:after="20" w:before="20"/>
              <w:jc w:val="left"/>
            </w:pPr>
            <w:r>
              <w:rPr>
                <w:rFonts w:ascii="Times New Roman" w:hAnsi="Times New Roman"/>
                <w:b w:val="0"/>
                <w:i w:val="0"/>
                <w:sz w:val="17"/>
              </w:rPr>
              <w:t>2.19 [2.01, 2.36]</w:t>
            </w:r>
          </w:p>
        </w:tc>
        <w:tc>
          <w:tcPr>
            <w:tcW w:type="dxa" w:w="1989"/>
          </w:tcPr>
          <w:p>
            <w:pPr>
              <w:spacing w:after="20" w:before="20"/>
              <w:jc w:val="left"/>
            </w:pPr>
            <w:r>
              <w:rPr>
                <w:rFonts w:ascii="Times New Roman" w:hAnsi="Times New Roman"/>
                <w:b w:val="0"/>
                <w:i w:val="0"/>
                <w:sz w:val="17"/>
              </w:rPr>
              <w:t>0.83 [0.60, 1.07]</w:t>
            </w:r>
          </w:p>
        </w:tc>
      </w:tr>
    </w:tbl>
    <w:p>
      <w:pPr>
        <w:spacing w:after="40"/>
      </w:pPr>
    </w:p>
    <w:p>
      <w:pPr>
        <w:jc w:val="both"/>
      </w:pPr>
      <w:r>
        <w:rPr>
          <w:rFonts w:ascii="Times New Roman" w:hAnsi="Times New Roman"/>
          <w:b w:val="0"/>
          <w:i w:val="0"/>
          <w:sz w:val="21"/>
        </w:rPr>
        <w:t xml:space="preserve">All overheads are small in absolute terms (≤ 2.2%), consistent with the general finding that per-command telemetry is affordable for this class of system. But the </w:t>
      </w:r>
      <w:r>
        <w:rPr>
          <w:rFonts w:ascii="Times New Roman" w:hAnsi="Times New Roman"/>
          <w:b w:val="0"/>
          <w:i/>
          <w:sz w:val="21"/>
        </w:rPr>
        <w:t>ordering</w:t>
      </w:r>
      <w:r>
        <w:rPr>
          <w:rFonts w:ascii="Times New Roman" w:hAnsi="Times New Roman"/>
          <w:b w:val="0"/>
          <w:i w:val="0"/>
          <w:sz w:val="21"/>
        </w:rPr>
        <w:t xml:space="preserve"> already differs by metric:</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667"/>
            <w:shd w:val="clear" w:color="auto" w:fill="E8E8E8"/>
          </w:tcPr>
          <w:p>
            <w:pPr>
              <w:spacing w:after="20" w:before="20"/>
              <w:jc w:val="left"/>
            </w:pPr>
            <w:r>
              <w:rPr>
                <w:rFonts w:ascii="Times New Roman" w:hAnsi="Times New Roman"/>
                <w:b/>
                <w:i w:val="0"/>
                <w:sz w:val="17"/>
              </w:rPr>
              <w:t>Budget metric</w:t>
            </w:r>
          </w:p>
        </w:tc>
        <w:tc>
          <w:tcPr>
            <w:tcW w:type="dxa" w:w="7693"/>
            <w:shd w:val="clear" w:color="auto" w:fill="E8E8E8"/>
          </w:tcPr>
          <w:p>
            <w:pPr>
              <w:spacing w:after="20" w:before="20"/>
              <w:jc w:val="left"/>
            </w:pPr>
            <w:r>
              <w:rPr>
                <w:rFonts w:ascii="Times New Roman" w:hAnsi="Times New Roman"/>
                <w:b/>
                <w:i w:val="0"/>
                <w:sz w:val="17"/>
              </w:rPr>
              <w:t>Ranking (cheapest → costliest)</w:t>
            </w:r>
          </w:p>
        </w:tc>
      </w:tr>
      <w:tr>
        <w:tc>
          <w:tcPr>
            <w:tcW w:type="dxa" w:w="1667"/>
          </w:tcPr>
          <w:p>
            <w:pPr>
              <w:spacing w:after="20" w:before="20"/>
              <w:jc w:val="left"/>
            </w:pPr>
            <w:r>
              <w:rPr>
                <w:rFonts w:ascii="Times New Roman" w:hAnsi="Times New Roman"/>
                <w:b w:val="0"/>
                <w:i w:val="0"/>
                <w:sz w:val="17"/>
              </w:rPr>
              <w:t>Throughput</w:t>
            </w:r>
          </w:p>
        </w:tc>
        <w:tc>
          <w:tcPr>
            <w:tcW w:type="dxa" w:w="7693"/>
          </w:tcPr>
          <w:p>
            <w:pPr>
              <w:spacing w:after="20" w:before="20"/>
              <w:jc w:val="left"/>
            </w:pPr>
            <w:r>
              <w:rPr>
                <w:rFonts w:ascii="Times New Roman" w:hAnsi="Times New Roman"/>
                <w:b w:val="0"/>
                <w:i w:val="0"/>
                <w:sz w:val="17"/>
              </w:rPr>
              <w:t>ThreadLocal &lt; Sharded-2key &lt; GlobalMutex &lt; HdrHistogram &lt; Sharded-N</w:t>
            </w:r>
          </w:p>
        </w:tc>
      </w:tr>
      <w:tr>
        <w:tc>
          <w:tcPr>
            <w:tcW w:type="dxa" w:w="1667"/>
          </w:tcPr>
          <w:p>
            <w:pPr>
              <w:spacing w:after="20" w:before="20"/>
              <w:jc w:val="left"/>
            </w:pPr>
            <w:r>
              <w:rPr>
                <w:rFonts w:ascii="Times New Roman" w:hAnsi="Times New Roman"/>
                <w:b w:val="0"/>
                <w:i w:val="0"/>
                <w:sz w:val="17"/>
              </w:rPr>
              <w:t>Mean latency</w:t>
            </w:r>
          </w:p>
        </w:tc>
        <w:tc>
          <w:tcPr>
            <w:tcW w:type="dxa" w:w="7693"/>
          </w:tcPr>
          <w:p>
            <w:pPr>
              <w:spacing w:after="20" w:before="20"/>
              <w:jc w:val="left"/>
            </w:pPr>
            <w:r>
              <w:rPr>
                <w:rFonts w:ascii="Times New Roman" w:hAnsi="Times New Roman"/>
                <w:b w:val="0"/>
                <w:i w:val="0"/>
                <w:sz w:val="17"/>
              </w:rPr>
              <w:t>ThreadLocal &lt; Sharded-2key &lt; GlobalMutex &lt; HdrHistogram &lt; Sharded-N</w:t>
            </w:r>
          </w:p>
        </w:tc>
      </w:tr>
      <w:tr>
        <w:tc>
          <w:tcPr>
            <w:tcW w:type="dxa" w:w="1667"/>
          </w:tcPr>
          <w:p>
            <w:pPr>
              <w:spacing w:after="20" w:before="20"/>
              <w:jc w:val="left"/>
            </w:pPr>
            <w:r>
              <w:rPr>
                <w:rFonts w:ascii="Times New Roman" w:hAnsi="Times New Roman"/>
                <w:b w:val="0"/>
                <w:i w:val="0"/>
                <w:sz w:val="17"/>
              </w:rPr>
              <w:t>p50 latency</w:t>
            </w:r>
          </w:p>
        </w:tc>
        <w:tc>
          <w:tcPr>
            <w:tcW w:type="dxa" w:w="7693"/>
          </w:tcPr>
          <w:p>
            <w:pPr>
              <w:spacing w:after="20" w:before="20"/>
              <w:jc w:val="left"/>
            </w:pPr>
            <w:r>
              <w:rPr>
                <w:rFonts w:ascii="Times New Roman" w:hAnsi="Times New Roman"/>
                <w:b w:val="0"/>
                <w:i w:val="0"/>
                <w:sz w:val="17"/>
              </w:rPr>
              <w:t xml:space="preserve">ThreadLocal &lt; Sharded-2key &lt; </w:t>
            </w:r>
            <w:r>
              <w:rPr>
                <w:rFonts w:ascii="Times New Roman" w:hAnsi="Times New Roman"/>
                <w:b/>
                <w:i w:val="0"/>
                <w:sz w:val="17"/>
              </w:rPr>
              <w:t>HdrHistogram &lt; GlobalMutex</w:t>
            </w:r>
            <w:r>
              <w:rPr>
                <w:rFonts w:ascii="Times New Roman" w:hAnsi="Times New Roman"/>
                <w:b w:val="0"/>
                <w:i w:val="0"/>
                <w:sz w:val="17"/>
              </w:rPr>
              <w:t xml:space="preserve"> &lt; Sharded-N</w:t>
            </w:r>
          </w:p>
        </w:tc>
      </w:tr>
      <w:tr>
        <w:tc>
          <w:tcPr>
            <w:tcW w:type="dxa" w:w="1667"/>
          </w:tcPr>
          <w:p>
            <w:pPr>
              <w:spacing w:after="20" w:before="20"/>
              <w:jc w:val="left"/>
            </w:pPr>
            <w:r>
              <w:rPr>
                <w:rFonts w:ascii="Times New Roman" w:hAnsi="Times New Roman"/>
                <w:b w:val="0"/>
                <w:i w:val="0"/>
                <w:sz w:val="17"/>
              </w:rPr>
              <w:t>p99 latency</w:t>
            </w:r>
          </w:p>
        </w:tc>
        <w:tc>
          <w:tcPr>
            <w:tcW w:type="dxa" w:w="7693"/>
          </w:tcPr>
          <w:p>
            <w:pPr>
              <w:spacing w:after="20" w:before="20"/>
              <w:jc w:val="left"/>
            </w:pPr>
            <w:r>
              <w:rPr>
                <w:rFonts w:ascii="Times New Roman" w:hAnsi="Times New Roman"/>
                <w:b w:val="0"/>
                <w:i w:val="0"/>
                <w:sz w:val="17"/>
              </w:rPr>
              <w:t xml:space="preserve">ThreadLocal &lt; Sharded-2key &lt; GlobalMutex &lt; </w:t>
            </w:r>
            <w:r>
              <w:rPr>
                <w:rFonts w:ascii="Times New Roman" w:hAnsi="Times New Roman"/>
                <w:b/>
                <w:i w:val="0"/>
                <w:sz w:val="17"/>
              </w:rPr>
              <w:t>Sharded-N &lt; HdrHistogram</w:t>
            </w:r>
          </w:p>
        </w:tc>
      </w:tr>
    </w:tbl>
    <w:p>
      <w:pPr>
        <w:spacing w:after="40"/>
      </w:pPr>
    </w:p>
    <w:p>
      <w:pPr>
        <w:jc w:val="both"/>
      </w:pPr>
      <w:r>
        <w:rPr>
          <w:rFonts w:ascii="Times New Roman" w:hAnsi="Times New Roman"/>
          <w:b w:val="0"/>
          <w:i w:val="0"/>
          <w:sz w:val="21"/>
        </w:rPr>
        <w:t>HdrHistogram moves from rank 4 under throughput to rank 3 at p50 and rank 5 at p99. §5.3 shows this is not noise.</w:t>
      </w:r>
    </w:p>
    <w:p>
      <w:pPr>
        <w:pStyle w:val="Heading2"/>
      </w:pPr>
      <w:r>
        <w:rPr>
          <w:rFonts w:ascii="Times New Roman" w:hAnsi="Times New Roman"/>
          <w:b/>
          <w:i w:val="0"/>
          <w:color w:val="000000"/>
          <w:sz w:val="26"/>
        </w:rPr>
        <w:t>5.1 Result 1 — Cardinality costs more than synchronization discipline</w:t>
      </w:r>
    </w:p>
    <w:p>
      <w:pPr>
        <w:jc w:val="both"/>
      </w:pPr>
      <w:r>
        <w:rPr>
          <w:rFonts w:ascii="Times New Roman" w:hAnsi="Times New Roman"/>
          <w:b/>
          <w:i w:val="0"/>
          <w:sz w:val="21"/>
        </w:rPr>
        <w:t>Table 2.</w:t>
      </w:r>
      <w:r>
        <w:rPr>
          <w:rFonts w:ascii="Times New Roman" w:hAnsi="Times New Roman"/>
          <w:b w:val="0"/>
          <w:i w:val="0"/>
          <w:sz w:val="21"/>
        </w:rPr>
        <w:t xml:space="preserve"> The four design axes priced separately (pp of throughput). D8s_v6 intervals cluster on 11 runs; D4s_v6 bootstraps over 30 blocks.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780"/>
            <w:shd w:val="clear" w:color="auto" w:fill="E8E8E8"/>
          </w:tcPr>
          <w:p>
            <w:pPr>
              <w:spacing w:after="20" w:before="20"/>
              <w:jc w:val="left"/>
            </w:pPr>
            <w:r>
              <w:rPr>
                <w:rFonts w:ascii="Times New Roman" w:hAnsi="Times New Roman"/>
                <w:b/>
                <w:i w:val="0"/>
                <w:sz w:val="17"/>
              </w:rPr>
              <w:t>Axis</w:t>
            </w:r>
          </w:p>
        </w:tc>
        <w:tc>
          <w:tcPr>
            <w:tcW w:type="dxa" w:w="3120"/>
            <w:shd w:val="clear" w:color="auto" w:fill="E8E8E8"/>
          </w:tcPr>
          <w:p>
            <w:pPr>
              <w:spacing w:after="20" w:before="20"/>
              <w:jc w:val="left"/>
            </w:pPr>
            <w:r>
              <w:rPr>
                <w:rFonts w:ascii="Times New Roman" w:hAnsi="Times New Roman"/>
                <w:b/>
                <w:i w:val="0"/>
                <w:sz w:val="17"/>
              </w:rPr>
              <w:t>Contrast</w:t>
            </w:r>
          </w:p>
        </w:tc>
        <w:tc>
          <w:tcPr>
            <w:tcW w:type="dxa" w:w="2006"/>
            <w:shd w:val="clear" w:color="auto" w:fill="E8E8E8"/>
          </w:tcPr>
          <w:p>
            <w:pPr>
              <w:spacing w:after="20" w:before="20"/>
              <w:jc w:val="left"/>
            </w:pPr>
            <w:r>
              <w:rPr>
                <w:rFonts w:ascii="Times New Roman" w:hAnsi="Times New Roman"/>
                <w:b/>
                <w:i w:val="0"/>
                <w:sz w:val="17"/>
              </w:rPr>
              <w:t>D8s_v6 (8 workers)</w:t>
            </w:r>
          </w:p>
        </w:tc>
        <w:tc>
          <w:tcPr>
            <w:tcW w:type="dxa" w:w="1449"/>
            <w:shd w:val="clear" w:color="auto" w:fill="E8E8E8"/>
          </w:tcPr>
          <w:p>
            <w:pPr>
              <w:spacing w:after="20" w:before="20"/>
              <w:jc w:val="right"/>
            </w:pPr>
            <w:r>
              <w:rPr>
                <w:rFonts w:ascii="Times New Roman" w:hAnsi="Times New Roman"/>
                <w:b/>
                <w:i w:val="0"/>
                <w:sz w:val="17"/>
              </w:rPr>
              <w:t>Runs agreeing</w:t>
            </w:r>
          </w:p>
        </w:tc>
        <w:tc>
          <w:tcPr>
            <w:tcW w:type="dxa" w:w="2006"/>
            <w:shd w:val="clear" w:color="auto" w:fill="E8E8E8"/>
          </w:tcPr>
          <w:p>
            <w:pPr>
              <w:spacing w:after="20" w:before="20"/>
              <w:jc w:val="left"/>
            </w:pPr>
            <w:r>
              <w:rPr>
                <w:rFonts w:ascii="Times New Roman" w:hAnsi="Times New Roman"/>
                <w:b/>
                <w:i w:val="0"/>
                <w:sz w:val="17"/>
              </w:rPr>
              <w:t>D4s_v6 (4 workers)</w:t>
            </w:r>
          </w:p>
        </w:tc>
      </w:tr>
      <w:tr>
        <w:tc>
          <w:tcPr>
            <w:tcW w:type="dxa" w:w="780"/>
          </w:tcPr>
          <w:p>
            <w:pPr>
              <w:spacing w:after="20" w:before="20"/>
              <w:jc w:val="left"/>
            </w:pPr>
            <w:r>
              <w:rPr>
                <w:rFonts w:ascii="Times New Roman" w:hAnsi="Times New Roman"/>
                <w:b/>
                <w:i w:val="0"/>
                <w:sz w:val="17"/>
              </w:rPr>
              <w:t>CARD</w:t>
            </w:r>
          </w:p>
        </w:tc>
        <w:tc>
          <w:tcPr>
            <w:tcW w:type="dxa" w:w="3120"/>
          </w:tcPr>
          <w:p>
            <w:pPr>
              <w:spacing w:after="20" w:before="20"/>
              <w:jc w:val="left"/>
            </w:pPr>
            <w:r>
              <w:rPr>
                <w:rFonts w:ascii="Consolas" w:hAnsi="Consolas"/>
                <w:b w:val="0"/>
                <w:i w:val="0"/>
                <w:color w:val="8B1A1A"/>
                <w:sz w:val="17"/>
              </w:rPr>
              <w:t>sharded_n</w:t>
            </w:r>
            <w:r>
              <w:rPr>
                <w:rFonts w:ascii="Times New Roman" w:hAnsi="Times New Roman"/>
                <w:b w:val="0"/>
                <w:i w:val="0"/>
                <w:sz w:val="17"/>
              </w:rPr>
              <w:t xml:space="preserve"> − </w:t>
            </w:r>
            <w:r>
              <w:rPr>
                <w:rFonts w:ascii="Consolas" w:hAnsi="Consolas"/>
                <w:b w:val="0"/>
                <w:i w:val="0"/>
                <w:color w:val="8B1A1A"/>
                <w:sz w:val="17"/>
              </w:rPr>
              <w:t>sharded_2key</w:t>
            </w:r>
          </w:p>
        </w:tc>
        <w:tc>
          <w:tcPr>
            <w:tcW w:type="dxa" w:w="2006"/>
          </w:tcPr>
          <w:p>
            <w:pPr>
              <w:spacing w:after="20" w:before="20"/>
              <w:jc w:val="left"/>
            </w:pPr>
            <w:r>
              <w:rPr>
                <w:rFonts w:ascii="Times New Roman" w:hAnsi="Times New Roman"/>
                <w:b/>
                <w:i w:val="0"/>
                <w:sz w:val="17"/>
              </w:rPr>
              <w:t>0.87 [0.73, 1.00]</w:t>
            </w:r>
          </w:p>
        </w:tc>
        <w:tc>
          <w:tcPr>
            <w:tcW w:type="dxa" w:w="1449"/>
          </w:tcPr>
          <w:p>
            <w:pPr>
              <w:spacing w:after="20" w:before="20"/>
              <w:jc w:val="right"/>
            </w:pPr>
            <w:r>
              <w:rPr>
                <w:rFonts w:ascii="Times New Roman" w:hAnsi="Times New Roman"/>
                <w:b w:val="0"/>
                <w:i w:val="0"/>
                <w:sz w:val="17"/>
              </w:rPr>
              <w:t>11/11</w:t>
            </w:r>
          </w:p>
        </w:tc>
        <w:tc>
          <w:tcPr>
            <w:tcW w:type="dxa" w:w="2006"/>
          </w:tcPr>
          <w:p>
            <w:pPr>
              <w:spacing w:after="20" w:before="20"/>
              <w:jc w:val="left"/>
            </w:pPr>
            <w:r>
              <w:rPr>
                <w:rFonts w:ascii="Times New Roman" w:hAnsi="Times New Roman"/>
                <w:b/>
                <w:i w:val="0"/>
                <w:sz w:val="17"/>
              </w:rPr>
              <w:t>0.79 [0.62, 0.96]</w:t>
            </w:r>
          </w:p>
        </w:tc>
      </w:tr>
      <w:tr>
        <w:tc>
          <w:tcPr>
            <w:tcW w:type="dxa" w:w="780"/>
          </w:tcPr>
          <w:p>
            <w:pPr>
              <w:spacing w:after="20" w:before="20"/>
              <w:jc w:val="left"/>
            </w:pPr>
            <w:r>
              <w:rPr>
                <w:rFonts w:ascii="Times New Roman" w:hAnsi="Times New Roman"/>
                <w:b/>
                <w:i w:val="0"/>
                <w:sz w:val="17"/>
              </w:rPr>
              <w:t>PAYLOAD</w:t>
            </w:r>
          </w:p>
        </w:tc>
        <w:tc>
          <w:tcPr>
            <w:tcW w:type="dxa" w:w="3120"/>
          </w:tcPr>
          <w:p>
            <w:pPr>
              <w:spacing w:after="20" w:before="20"/>
              <w:jc w:val="left"/>
            </w:pPr>
            <w:r>
              <w:rPr>
                <w:rFonts w:ascii="Consolas" w:hAnsi="Consolas"/>
                <w:b w:val="0"/>
                <w:i w:val="0"/>
                <w:color w:val="8B1A1A"/>
                <w:sz w:val="17"/>
              </w:rPr>
              <w:t>hdr_histogram</w:t>
            </w:r>
            <w:r>
              <w:rPr>
                <w:rFonts w:ascii="Times New Roman" w:hAnsi="Times New Roman"/>
                <w:b w:val="0"/>
                <w:i w:val="0"/>
                <w:sz w:val="17"/>
              </w:rPr>
              <w:t xml:space="preserve"> − </w:t>
            </w:r>
            <w:r>
              <w:rPr>
                <w:rFonts w:ascii="Consolas" w:hAnsi="Consolas"/>
                <w:b w:val="0"/>
                <w:i w:val="0"/>
                <w:color w:val="8B1A1A"/>
                <w:sz w:val="17"/>
              </w:rPr>
              <w:t>thread_local</w:t>
            </w:r>
          </w:p>
        </w:tc>
        <w:tc>
          <w:tcPr>
            <w:tcW w:type="dxa" w:w="2006"/>
          </w:tcPr>
          <w:p>
            <w:pPr>
              <w:spacing w:after="20" w:before="20"/>
              <w:jc w:val="left"/>
            </w:pPr>
            <w:r>
              <w:rPr>
                <w:rFonts w:ascii="Times New Roman" w:hAnsi="Times New Roman"/>
                <w:b w:val="0"/>
                <w:i w:val="0"/>
                <w:sz w:val="17"/>
              </w:rPr>
              <w:t>0.89 [0.80, 0.97]</w:t>
            </w:r>
          </w:p>
        </w:tc>
        <w:tc>
          <w:tcPr>
            <w:tcW w:type="dxa" w:w="1449"/>
          </w:tcPr>
          <w:p>
            <w:pPr>
              <w:spacing w:after="20" w:before="20"/>
              <w:jc w:val="right"/>
            </w:pPr>
            <w:r>
              <w:rPr>
                <w:rFonts w:ascii="Times New Roman" w:hAnsi="Times New Roman"/>
                <w:b w:val="0"/>
                <w:i w:val="0"/>
                <w:sz w:val="17"/>
              </w:rPr>
              <w:t>11/11</w:t>
            </w:r>
          </w:p>
        </w:tc>
        <w:tc>
          <w:tcPr>
            <w:tcW w:type="dxa" w:w="2006"/>
          </w:tcPr>
          <w:p>
            <w:pPr>
              <w:spacing w:after="20" w:before="20"/>
              <w:jc w:val="left"/>
            </w:pPr>
            <w:r>
              <w:rPr>
                <w:rFonts w:ascii="Times New Roman" w:hAnsi="Times New Roman"/>
                <w:b w:val="0"/>
                <w:i w:val="0"/>
                <w:sz w:val="17"/>
              </w:rPr>
              <w:t>1.00 [0.71, 1.28]</w:t>
            </w:r>
          </w:p>
        </w:tc>
      </w:tr>
      <w:tr>
        <w:tc>
          <w:tcPr>
            <w:tcW w:type="dxa" w:w="780"/>
          </w:tcPr>
          <w:p>
            <w:pPr>
              <w:spacing w:after="20" w:before="20"/>
              <w:jc w:val="left"/>
            </w:pPr>
            <w:r>
              <w:rPr>
                <w:rFonts w:ascii="Times New Roman" w:hAnsi="Times New Roman"/>
                <w:b/>
                <w:i w:val="0"/>
                <w:sz w:val="17"/>
              </w:rPr>
              <w:t>SYNC</w:t>
            </w:r>
          </w:p>
        </w:tc>
        <w:tc>
          <w:tcPr>
            <w:tcW w:type="dxa" w:w="3120"/>
          </w:tcPr>
          <w:p>
            <w:pPr>
              <w:spacing w:after="20" w:before="20"/>
              <w:jc w:val="left"/>
            </w:pPr>
            <w:r>
              <w:rPr>
                <w:rFonts w:ascii="Consolas" w:hAnsi="Consolas"/>
                <w:b w:val="0"/>
                <w:i w:val="0"/>
                <w:color w:val="8B1A1A"/>
                <w:sz w:val="17"/>
              </w:rPr>
              <w:t>global_mutex</w:t>
            </w:r>
            <w:r>
              <w:rPr>
                <w:rFonts w:ascii="Times New Roman" w:hAnsi="Times New Roman"/>
                <w:b w:val="0"/>
                <w:i w:val="0"/>
                <w:sz w:val="17"/>
              </w:rPr>
              <w:t xml:space="preserve"> − </w:t>
            </w:r>
            <w:r>
              <w:rPr>
                <w:rFonts w:ascii="Consolas" w:hAnsi="Consolas"/>
                <w:b w:val="0"/>
                <w:i w:val="0"/>
                <w:color w:val="8B1A1A"/>
                <w:sz w:val="17"/>
              </w:rPr>
              <w:t>sharded_2key</w:t>
            </w:r>
          </w:p>
        </w:tc>
        <w:tc>
          <w:tcPr>
            <w:tcW w:type="dxa" w:w="2006"/>
          </w:tcPr>
          <w:p>
            <w:pPr>
              <w:spacing w:after="20" w:before="20"/>
              <w:jc w:val="left"/>
            </w:pPr>
            <w:r>
              <w:rPr>
                <w:rFonts w:ascii="Times New Roman" w:hAnsi="Times New Roman"/>
                <w:b/>
                <w:i w:val="0"/>
                <w:sz w:val="17"/>
              </w:rPr>
              <w:t>0.52 [0.42, 0.63]</w:t>
            </w:r>
          </w:p>
        </w:tc>
        <w:tc>
          <w:tcPr>
            <w:tcW w:type="dxa" w:w="1449"/>
          </w:tcPr>
          <w:p>
            <w:pPr>
              <w:spacing w:after="20" w:before="20"/>
              <w:jc w:val="right"/>
            </w:pPr>
            <w:r>
              <w:rPr>
                <w:rFonts w:ascii="Times New Roman" w:hAnsi="Times New Roman"/>
                <w:b w:val="0"/>
                <w:i w:val="0"/>
                <w:sz w:val="17"/>
              </w:rPr>
              <w:t>11/11</w:t>
            </w:r>
          </w:p>
        </w:tc>
        <w:tc>
          <w:tcPr>
            <w:tcW w:type="dxa" w:w="2006"/>
          </w:tcPr>
          <w:p>
            <w:pPr>
              <w:spacing w:after="20" w:before="20"/>
              <w:jc w:val="left"/>
            </w:pPr>
            <w:r>
              <w:rPr>
                <w:rFonts w:ascii="Times New Roman" w:hAnsi="Times New Roman"/>
                <w:b/>
                <w:i w:val="0"/>
                <w:sz w:val="17"/>
              </w:rPr>
              <w:t>0.18 [−0.02, 0.38]</w:t>
            </w:r>
          </w:p>
        </w:tc>
      </w:tr>
      <w:tr>
        <w:tc>
          <w:tcPr>
            <w:tcW w:type="dxa" w:w="780"/>
          </w:tcPr>
          <w:p>
            <w:pPr>
              <w:spacing w:after="20" w:before="20"/>
              <w:jc w:val="left"/>
            </w:pPr>
            <w:r>
              <w:rPr>
                <w:rFonts w:ascii="Times New Roman" w:hAnsi="Times New Roman"/>
                <w:b/>
                <w:i w:val="0"/>
                <w:sz w:val="17"/>
              </w:rPr>
              <w:t>DEFER</w:t>
            </w:r>
          </w:p>
        </w:tc>
        <w:tc>
          <w:tcPr>
            <w:tcW w:type="dxa" w:w="3120"/>
          </w:tcPr>
          <w:p>
            <w:pPr>
              <w:spacing w:after="20" w:before="20"/>
              <w:jc w:val="left"/>
            </w:pPr>
            <w:r>
              <w:rPr>
                <w:rFonts w:ascii="Consolas" w:hAnsi="Consolas"/>
                <w:b w:val="0"/>
                <w:i w:val="0"/>
                <w:color w:val="8B1A1A"/>
                <w:sz w:val="17"/>
              </w:rPr>
              <w:t>sharded_2key</w:t>
            </w:r>
            <w:r>
              <w:rPr>
                <w:rFonts w:ascii="Times New Roman" w:hAnsi="Times New Roman"/>
                <w:b w:val="0"/>
                <w:i w:val="0"/>
                <w:sz w:val="17"/>
              </w:rPr>
              <w:t xml:space="preserve"> − </w:t>
            </w:r>
            <w:r>
              <w:rPr>
                <w:rFonts w:ascii="Consolas" w:hAnsi="Consolas"/>
                <w:b w:val="0"/>
                <w:i w:val="0"/>
                <w:color w:val="8B1A1A"/>
                <w:sz w:val="17"/>
              </w:rPr>
              <w:t>thread_local</w:t>
            </w:r>
          </w:p>
        </w:tc>
        <w:tc>
          <w:tcPr>
            <w:tcW w:type="dxa" w:w="2006"/>
          </w:tcPr>
          <w:p>
            <w:pPr>
              <w:spacing w:after="20" w:before="20"/>
              <w:jc w:val="left"/>
            </w:pPr>
            <w:r>
              <w:rPr>
                <w:rFonts w:ascii="Times New Roman" w:hAnsi="Times New Roman"/>
                <w:b w:val="0"/>
                <w:i w:val="0"/>
                <w:sz w:val="17"/>
              </w:rPr>
              <w:t>0.31 [0.21, 0.41]</w:t>
            </w:r>
          </w:p>
        </w:tc>
        <w:tc>
          <w:tcPr>
            <w:tcW w:type="dxa" w:w="1449"/>
          </w:tcPr>
          <w:p>
            <w:pPr>
              <w:spacing w:after="20" w:before="20"/>
              <w:jc w:val="right"/>
            </w:pPr>
            <w:r>
              <w:rPr>
                <w:rFonts w:ascii="Times New Roman" w:hAnsi="Times New Roman"/>
                <w:b w:val="0"/>
                <w:i w:val="0"/>
                <w:sz w:val="17"/>
              </w:rPr>
              <w:t>11/11</w:t>
            </w:r>
          </w:p>
        </w:tc>
        <w:tc>
          <w:tcPr>
            <w:tcW w:type="dxa" w:w="2006"/>
          </w:tcPr>
          <w:p>
            <w:pPr>
              <w:spacing w:after="20" w:before="20"/>
              <w:jc w:val="left"/>
            </w:pPr>
            <w:r>
              <w:rPr>
                <w:rFonts w:ascii="Times New Roman" w:hAnsi="Times New Roman"/>
                <w:b w:val="0"/>
                <w:i w:val="0"/>
                <w:sz w:val="17"/>
              </w:rPr>
              <w:t>0.26 [−0.00, 0.51]</w:t>
            </w:r>
          </w:p>
        </w:tc>
      </w:tr>
    </w:tbl>
    <w:p>
      <w:pPr>
        <w:spacing w:after="40"/>
      </w:pPr>
    </w:p>
    <w:p>
      <w:pPr>
        <w:keepNext/>
        <w:spacing w:before="160" w:after="40"/>
        <w:jc w:val="center"/>
      </w:pPr>
      <w:r>
        <w:drawing>
          <wp:inline xmlns:a="http://schemas.openxmlformats.org/drawingml/2006/main" xmlns:pic="http://schemas.openxmlformats.org/drawingml/2006/picture">
            <wp:extent cx="5943600" cy="2045564"/>
            <wp:docPr id="1" name="Picture 1"/>
            <wp:cNvGraphicFramePr>
              <a:graphicFrameLocks noChangeAspect="1"/>
            </wp:cNvGraphicFramePr>
            <a:graphic>
              <a:graphicData uri="http://schemas.openxmlformats.org/drawingml/2006/picture">
                <pic:pic>
                  <pic:nvPicPr>
                    <pic:cNvPr id="0" name="axes_fig1_decomposition.png"/>
                    <pic:cNvPicPr/>
                  </pic:nvPicPr>
                  <pic:blipFill>
                    <a:blip r:embed="rId10"/>
                    <a:stretch>
                      <a:fillRect/>
                    </a:stretch>
                  </pic:blipFill>
                  <pic:spPr>
                    <a:xfrm>
                      <a:off x="0" y="0"/>
                      <a:ext cx="5943600" cy="2045564"/>
                    </a:xfrm>
                    <a:prstGeom prst="rect"/>
                  </pic:spPr>
                </pic:pic>
              </a:graphicData>
            </a:graphic>
          </wp:inline>
        </w:drawing>
      </w:r>
    </w:p>
    <w:p>
      <w:pPr>
        <w:jc w:val="both"/>
      </w:pPr>
      <w:r>
        <w:rPr>
          <w:rFonts w:ascii="Times New Roman" w:hAnsi="Times New Roman"/>
          <w:b/>
          <w:i w:val="0"/>
          <w:sz w:val="21"/>
        </w:rPr>
        <w:t>Figure 1.</w:t>
      </w:r>
      <w:r>
        <w:rPr>
          <w:rFonts w:ascii="Times New Roman" w:hAnsi="Times New Roman"/>
          <w:b w:val="0"/>
          <w:i w:val="0"/>
          <w:sz w:val="21"/>
        </w:rPr>
        <w:t xml:space="preserve"> Each design axis priced separately on the pooled D8s_v6 dataset. Bars are cluster-aware 95% CIs over the eleven runs.</w:t>
      </w:r>
    </w:p>
    <w:p>
      <w:pPr>
        <w:jc w:val="both"/>
      </w:pPr>
      <w:r>
        <w:rPr>
          <w:rFonts w:ascii="Times New Roman" w:hAnsi="Times New Roman"/>
          <w:b w:val="0"/>
          <w:i w:val="0"/>
          <w:sz w:val="21"/>
        </w:rPr>
        <w:t>The cardinality axis is the largest counter-related cost in the system, and it exceeds the synchronization axis:</w:t>
      </w:r>
    </w:p>
    <w:p>
      <w:pPr>
        <w:pStyle w:val="ListBullet"/>
        <w:spacing w:after="80"/>
        <w:ind w:left="504"/>
      </w:pPr>
      <w:r>
        <w:rPr>
          <w:rFonts w:ascii="Times New Roman" w:hAnsi="Times New Roman"/>
          <w:b w:val="0"/>
          <w:i w:val="0"/>
          <w:sz w:val="21"/>
        </w:rPr>
        <w:t xml:space="preserve">CARD = 0.87 pp, SYNC = 0.52 pp, </w:t>
      </w:r>
      <w:r>
        <w:rPr>
          <w:rFonts w:ascii="Times New Roman" w:hAnsi="Times New Roman"/>
          <w:b/>
          <w:i w:val="0"/>
          <w:sz w:val="21"/>
        </w:rPr>
        <w:t>ratio 1.66×</w:t>
      </w:r>
    </w:p>
    <w:p>
      <w:pPr>
        <w:pStyle w:val="ListBullet"/>
        <w:spacing w:after="80"/>
        <w:ind w:left="504"/>
      </w:pPr>
      <w:r>
        <w:rPr>
          <w:rFonts w:ascii="Times New Roman" w:hAnsi="Times New Roman"/>
          <w:b w:val="0"/>
          <w:i w:val="0"/>
          <w:sz w:val="21"/>
        </w:rPr>
        <w:t xml:space="preserve">CARD − SYNC = </w:t>
      </w:r>
      <w:r>
        <w:rPr>
          <w:rFonts w:ascii="Times New Roman" w:hAnsi="Times New Roman"/>
          <w:b/>
          <w:i w:val="0"/>
          <w:sz w:val="21"/>
        </w:rPr>
        <w:t>0.34 pp</w:t>
      </w:r>
      <w:r>
        <w:rPr>
          <w:rFonts w:ascii="Times New Roman" w:hAnsi="Times New Roman"/>
          <w:b w:val="0"/>
          <w:i w:val="0"/>
          <w:sz w:val="21"/>
        </w:rPr>
        <w:t xml:space="preserve">, 95% CI </w:t>
      </w:r>
      <w:r>
        <w:rPr>
          <w:rFonts w:ascii="Times New Roman" w:hAnsi="Times New Roman"/>
          <w:b/>
          <w:i w:val="0"/>
          <w:sz w:val="21"/>
        </w:rPr>
        <w:t>[0.19, 0.50]</w:t>
      </w:r>
      <w:r>
        <w:rPr>
          <w:rFonts w:ascii="Times New Roman" w:hAnsi="Times New Roman"/>
          <w:b w:val="0"/>
          <w:i w:val="0"/>
          <w:sz w:val="21"/>
        </w:rPr>
        <w:t xml:space="preserve"> (excludes zero)</w:t>
      </w:r>
    </w:p>
    <w:p>
      <w:pPr>
        <w:pStyle w:val="ListBullet"/>
        <w:spacing w:after="80"/>
        <w:ind w:left="504"/>
      </w:pPr>
      <w:r>
        <w:rPr>
          <w:rFonts w:ascii="Times New Roman" w:hAnsi="Times New Roman"/>
          <w:b w:val="0"/>
          <w:i w:val="0"/>
          <w:sz w:val="21"/>
        </w:rPr>
        <w:t xml:space="preserve">CARD &gt; SYNC in </w:t>
      </w:r>
      <w:r>
        <w:rPr>
          <w:rFonts w:ascii="Times New Roman" w:hAnsi="Times New Roman"/>
          <w:b/>
          <w:i w:val="0"/>
          <w:sz w:val="21"/>
        </w:rPr>
        <w:t>10 of 11</w:t>
      </w:r>
      <w:r>
        <w:rPr>
          <w:rFonts w:ascii="Times New Roman" w:hAnsi="Times New Roman"/>
          <w:b w:val="0"/>
          <w:i w:val="0"/>
          <w:sz w:val="21"/>
        </w:rPr>
        <w:t xml:space="preserve"> independent runs, exact sign test </w:t>
      </w:r>
      <w:r>
        <w:rPr>
          <w:rFonts w:ascii="Times New Roman" w:hAnsi="Times New Roman"/>
          <w:b/>
          <w:i w:val="0"/>
          <w:sz w:val="21"/>
        </w:rPr>
        <w:t>p = 0.012</w:t>
      </w:r>
      <w:r>
        <w:rPr>
          <w:rFonts w:ascii="Times New Roman" w:hAnsi="Times New Roman"/>
          <w:b w:val="0"/>
          <w:i w:val="0"/>
          <w:sz w:val="21"/>
        </w:rPr>
        <w:t xml:space="preserve">, paired </w:t>
      </w:r>
      <w:r>
        <w:rPr>
          <w:rFonts w:ascii="Times New Roman" w:hAnsi="Times New Roman"/>
          <w:b w:val="0"/>
          <w:i/>
          <w:sz w:val="21"/>
        </w:rPr>
        <w:t>t</w:t>
      </w:r>
      <w:r>
        <w:rPr>
          <w:rFonts w:ascii="Times New Roman" w:hAnsi="Times New Roman"/>
          <w:b w:val="0"/>
          <w:i w:val="0"/>
          <w:sz w:val="21"/>
        </w:rPr>
        <w:t>(10) = 4.99</w:t>
      </w:r>
    </w:p>
    <w:p>
      <w:pPr>
        <w:pStyle w:val="ListBullet"/>
        <w:spacing w:after="80"/>
        <w:ind w:left="504"/>
      </w:pPr>
      <w:r>
        <w:rPr>
          <w:rFonts w:ascii="Times New Roman" w:hAnsi="Times New Roman"/>
          <w:b w:val="0"/>
          <w:i w:val="0"/>
          <w:sz w:val="21"/>
        </w:rPr>
        <w:t xml:space="preserve">On D4s_v6 the same comparison gives </w:t>
      </w:r>
      <w:r>
        <w:rPr>
          <w:rFonts w:ascii="Times New Roman" w:hAnsi="Times New Roman"/>
          <w:b/>
          <w:i w:val="0"/>
          <w:sz w:val="21"/>
        </w:rPr>
        <w:t>4.5×</w:t>
      </w:r>
      <w:r>
        <w:rPr>
          <w:rFonts w:ascii="Times New Roman" w:hAnsi="Times New Roman"/>
          <w:b w:val="0"/>
          <w:i w:val="0"/>
          <w:sz w:val="21"/>
        </w:rPr>
        <w:t xml:space="preserve"> (0.79 vs 0.18 pp)</w:t>
      </w:r>
    </w:p>
    <w:p>
      <w:pPr>
        <w:jc w:val="both"/>
      </w:pPr>
      <w:r>
        <w:rPr>
          <w:rFonts w:ascii="Times New Roman" w:hAnsi="Times New Roman"/>
          <w:b w:val="0"/>
          <w:i w:val="0"/>
          <w:sz w:val="21"/>
        </w:rPr>
        <w:t xml:space="preserve">Because both axes are differences against </w:t>
      </w:r>
      <w:r>
        <w:rPr>
          <w:rFonts w:ascii="Consolas" w:hAnsi="Consolas"/>
          <w:b w:val="0"/>
          <w:i w:val="0"/>
          <w:color w:val="8B1A1A"/>
          <w:sz w:val="17"/>
        </w:rPr>
        <w:t>sharded_2key</w:t>
      </w:r>
      <w:r>
        <w:rPr>
          <w:rFonts w:ascii="Times New Roman" w:hAnsi="Times New Roman"/>
          <w:b w:val="0"/>
          <w:i w:val="0"/>
          <w:sz w:val="21"/>
        </w:rPr>
        <w:t xml:space="preserve">, their gap </w:t>
      </w:r>
      <w:r>
        <w:rPr>
          <w:rFonts w:ascii="Times New Roman" w:hAnsi="Times New Roman"/>
          <w:b w:val="0"/>
          <w:i/>
          <w:sz w:val="21"/>
        </w:rPr>
        <w:t>is</w:t>
      </w:r>
      <w:r>
        <w:rPr>
          <w:rFonts w:ascii="Times New Roman" w:hAnsi="Times New Roman"/>
          <w:b w:val="0"/>
          <w:i w:val="0"/>
          <w:sz w:val="21"/>
        </w:rPr>
        <w:t xml:space="preserve"> the direct strategy comparison:</w:t>
      </w:r>
    </w:p>
    <w:p>
      <w:pPr>
        <w:spacing w:before="120" w:after="120"/>
        <w:ind w:left="576" w:right="576"/>
      </w:pPr>
      <w:r>
        <w:rPr>
          <w:rFonts w:ascii="Times New Roman" w:hAnsi="Times New Roman"/>
          <w:b w:val="0"/>
          <w:i/>
          <w:sz w:val="21"/>
        </w:rPr>
        <w:t xml:space="preserve">A 64-way sharded concurrent map keyed by a ~10,000-value label is </w:t>
      </w:r>
      <w:r>
        <w:rPr>
          <w:rFonts w:ascii="Times New Roman" w:hAnsi="Times New Roman"/>
          <w:b/>
          <w:i/>
          <w:sz w:val="21"/>
        </w:rPr>
        <w:t>0.34 pp slower</w:t>
      </w:r>
      <w:r>
        <w:rPr>
          <w:rFonts w:ascii="Times New Roman" w:hAnsi="Times New Roman"/>
          <w:b w:val="0"/>
          <w:i/>
          <w:sz w:val="21"/>
        </w:rPr>
        <w:t xml:space="preserve"> (95% CI [0.19, 0.50]) than a </w:t>
      </w:r>
      <w:r>
        <w:rPr>
          <w:rFonts w:ascii="Times New Roman" w:hAnsi="Times New Roman"/>
          <w:b/>
          <w:i/>
          <w:sz w:val="21"/>
        </w:rPr>
        <w:t>single global mutex</w:t>
      </w:r>
      <w:r>
        <w:rPr>
          <w:rFonts w:ascii="Times New Roman" w:hAnsi="Times New Roman"/>
          <w:b w:val="0"/>
          <w:i/>
          <w:sz w:val="21"/>
        </w:rPr>
        <w:t xml:space="preserve"> keyed by a 2-value label.</w:t>
      </w:r>
    </w:p>
    <w:p>
      <w:pPr>
        <w:jc w:val="both"/>
      </w:pPr>
      <w:r>
        <w:rPr>
          <w:rFonts w:ascii="Times New Roman" w:hAnsi="Times New Roman"/>
          <w:b w:val="0"/>
          <w:i w:val="0"/>
          <w:sz w:val="21"/>
        </w:rPr>
        <w:t xml:space="preserve">This inverts the standard optimization priority. An engineer who replaces the global counter lock with a sharded map but keeps a high-cardinality label has, on this system, made throughput </w:t>
      </w:r>
      <w:r>
        <w:rPr>
          <w:rFonts w:ascii="Times New Roman" w:hAnsi="Times New Roman"/>
          <w:b w:val="0"/>
          <w:i/>
          <w:sz w:val="21"/>
        </w:rPr>
        <w:t>worse</w:t>
      </w:r>
      <w:r>
        <w:rPr>
          <w:rFonts w:ascii="Times New Roman" w:hAnsi="Times New Roman"/>
          <w:b w:val="0"/>
          <w:i w:val="0"/>
          <w:sz w:val="21"/>
        </w:rPr>
        <w:t xml:space="preserve"> than leaving the lock in place and reducing the label. Recall from §3.3 that the SYNC measurement is inflated by </w:t>
      </w:r>
      <w:r>
        <w:rPr>
          <w:rFonts w:ascii="Consolas" w:hAnsi="Consolas"/>
          <w:b w:val="0"/>
          <w:i w:val="0"/>
          <w:color w:val="8B1A1A"/>
          <w:sz w:val="17"/>
        </w:rPr>
        <w:t>global_mutex</w:t>
      </w:r>
      <w:r>
        <w:rPr>
          <w:rFonts w:ascii="Times New Roman" w:hAnsi="Times New Roman"/>
          <w:b w:val="0"/>
          <w:i w:val="0"/>
          <w:sz w:val="21"/>
        </w:rPr>
        <w:t>'s self-instrumentation, so the real inversion is if anything larger than measured.</w:t>
      </w:r>
    </w:p>
    <w:p>
      <w:pPr>
        <w:jc w:val="both"/>
      </w:pPr>
      <w:r>
        <w:rPr>
          <w:rFonts w:ascii="Times New Roman" w:hAnsi="Times New Roman"/>
          <w:b w:val="0"/>
          <w:i w:val="0"/>
          <w:sz w:val="21"/>
        </w:rPr>
        <w:t>We note the PAYLOAD axis is statistically indistinguishable from CARD here (0.89 vs 0.87 pp); we do not claim an ordering between them. The claim concerns CARD versus SYNC.</w:t>
      </w:r>
    </w:p>
    <w:p>
      <w:pPr>
        <w:pStyle w:val="Heading2"/>
      </w:pPr>
      <w:r>
        <w:rPr>
          <w:rFonts w:ascii="Times New Roman" w:hAnsi="Times New Roman"/>
          <w:b/>
          <w:i w:val="0"/>
          <w:color w:val="000000"/>
          <w:sz w:val="26"/>
        </w:rPr>
        <w:t>5.2 Result 2 — The axes obey different scaling laws</w:t>
      </w:r>
    </w:p>
    <w:p>
      <w:pPr>
        <w:keepNext/>
        <w:spacing w:before="160" w:after="40"/>
        <w:jc w:val="center"/>
      </w:pPr>
      <w:r>
        <w:drawing>
          <wp:inline xmlns:a="http://schemas.openxmlformats.org/drawingml/2006/main" xmlns:pic="http://schemas.openxmlformats.org/drawingml/2006/picture">
            <wp:extent cx="5943600" cy="2808000"/>
            <wp:docPr id="2" name="Picture 2"/>
            <wp:cNvGraphicFramePr>
              <a:graphicFrameLocks noChangeAspect="1"/>
            </wp:cNvGraphicFramePr>
            <a:graphic>
              <a:graphicData uri="http://schemas.openxmlformats.org/drawingml/2006/picture">
                <pic:pic>
                  <pic:nvPicPr>
                    <pic:cNvPr id="0" name="axes_fig2_scaling.png"/>
                    <pic:cNvPicPr/>
                  </pic:nvPicPr>
                  <pic:blipFill>
                    <a:blip r:embed="rId11"/>
                    <a:stretch>
                      <a:fillRect/>
                    </a:stretch>
                  </pic:blipFill>
                  <pic:spPr>
                    <a:xfrm>
                      <a:off x="0" y="0"/>
                      <a:ext cx="5943600" cy="2808000"/>
                    </a:xfrm>
                    <a:prstGeom prst="rect"/>
                  </pic:spPr>
                </pic:pic>
              </a:graphicData>
            </a:graphic>
          </wp:inline>
        </w:drawing>
      </w:r>
    </w:p>
    <w:p>
      <w:pPr>
        <w:jc w:val="both"/>
      </w:pPr>
      <w:r>
        <w:rPr>
          <w:rFonts w:ascii="Times New Roman" w:hAnsi="Times New Roman"/>
          <w:b/>
          <w:i w:val="0"/>
          <w:sz w:val="21"/>
        </w:rPr>
        <w:t>Figure 2.</w:t>
      </w:r>
      <w:r>
        <w:rPr>
          <w:rFonts w:ascii="Times New Roman" w:hAnsi="Times New Roman"/>
          <w:b w:val="0"/>
          <w:i w:val="0"/>
          <w:sz w:val="21"/>
        </w:rPr>
        <w:t xml:space="preserve"> (a) Axis cost against client concurrency, 8 workers throughout, with cluster-aware 95% CIs; the point-to-point variation lies inside the noise band. (b) The same axes at 4 versus 8 worker threads at matched client load.</w:t>
      </w:r>
    </w:p>
    <w:p>
      <w:pPr>
        <w:jc w:val="both"/>
      </w:pPr>
      <w:r>
        <w:rPr>
          <w:rFonts w:ascii="Times New Roman" w:hAnsi="Times New Roman"/>
          <w:b/>
          <w:i w:val="0"/>
          <w:sz w:val="21"/>
        </w:rPr>
        <w:t>Client concurrency does not move any axis.</w:t>
      </w:r>
      <w:r>
        <w:rPr>
          <w:rFonts w:ascii="Times New Roman" w:hAnsi="Times New Roman"/>
          <w:b w:val="0"/>
          <w:i w:val="0"/>
          <w:sz w:val="21"/>
        </w:rPr>
        <w:t xml:space="preserve"> Fitting each axis against log₂(concurrency) within run over 100–3000 clients (§4.3):</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819"/>
            <w:shd w:val="clear" w:color="auto" w:fill="E8E8E8"/>
          </w:tcPr>
          <w:p>
            <w:pPr>
              <w:spacing w:after="20" w:before="20"/>
              <w:jc w:val="left"/>
            </w:pPr>
            <w:r>
              <w:rPr>
                <w:rFonts w:ascii="Times New Roman" w:hAnsi="Times New Roman"/>
                <w:b/>
                <w:i w:val="0"/>
                <w:sz w:val="17"/>
              </w:rPr>
              <w:t>Axis</w:t>
            </w:r>
          </w:p>
        </w:tc>
        <w:tc>
          <w:tcPr>
            <w:tcW w:type="dxa" w:w="2691"/>
            <w:shd w:val="clear" w:color="auto" w:fill="E8E8E8"/>
          </w:tcPr>
          <w:p>
            <w:pPr>
              <w:spacing w:after="20" w:before="20"/>
              <w:jc w:val="right"/>
            </w:pPr>
            <w:r>
              <w:rPr>
                <w:rFonts w:ascii="Times New Roman" w:hAnsi="Times New Roman"/>
                <w:b/>
                <w:i w:val="0"/>
                <w:sz w:val="17"/>
              </w:rPr>
              <w:t>Slope (pp per doubling)</w:t>
            </w:r>
          </w:p>
        </w:tc>
        <w:tc>
          <w:tcPr>
            <w:tcW w:type="dxa" w:w="1755"/>
            <w:shd w:val="clear" w:color="auto" w:fill="E8E8E8"/>
          </w:tcPr>
          <w:p>
            <w:pPr>
              <w:spacing w:after="20" w:before="20"/>
              <w:jc w:val="left"/>
            </w:pPr>
            <w:r>
              <w:rPr>
                <w:rFonts w:ascii="Times New Roman" w:hAnsi="Times New Roman"/>
                <w:b/>
                <w:i w:val="0"/>
                <w:sz w:val="17"/>
              </w:rPr>
              <w:t>95% CI</w:t>
            </w:r>
          </w:p>
        </w:tc>
        <w:tc>
          <w:tcPr>
            <w:tcW w:type="dxa" w:w="1521"/>
            <w:shd w:val="clear" w:color="auto" w:fill="E8E8E8"/>
          </w:tcPr>
          <w:p>
            <w:pPr>
              <w:spacing w:after="20" w:before="20"/>
              <w:jc w:val="right"/>
            </w:pPr>
            <w:r>
              <w:rPr>
                <w:rFonts w:ascii="Times New Roman" w:hAnsi="Times New Roman"/>
                <w:b/>
                <w:i w:val="0"/>
                <w:sz w:val="17"/>
              </w:rPr>
              <w:t>Runs positive</w:t>
            </w:r>
          </w:p>
        </w:tc>
        <w:tc>
          <w:tcPr>
            <w:tcW w:type="dxa" w:w="2574"/>
            <w:shd w:val="clear" w:color="auto" w:fill="E8E8E8"/>
          </w:tcPr>
          <w:p>
            <w:pPr>
              <w:spacing w:after="20" w:before="20"/>
              <w:jc w:val="left"/>
            </w:pPr>
            <w:r>
              <w:rPr>
                <w:rFonts w:ascii="Times New Roman" w:hAnsi="Times New Roman"/>
                <w:b/>
                <w:i w:val="0"/>
                <w:sz w:val="17"/>
              </w:rPr>
              <w:t>c=100 → c=3000</w:t>
            </w:r>
          </w:p>
        </w:tc>
      </w:tr>
      <w:tr>
        <w:tc>
          <w:tcPr>
            <w:tcW w:type="dxa" w:w="819"/>
          </w:tcPr>
          <w:p>
            <w:pPr>
              <w:spacing w:after="20" w:before="20"/>
              <w:jc w:val="left"/>
            </w:pPr>
            <w:r>
              <w:rPr>
                <w:rFonts w:ascii="Times New Roman" w:hAnsi="Times New Roman"/>
                <w:b w:val="0"/>
                <w:i w:val="0"/>
                <w:sz w:val="17"/>
              </w:rPr>
              <w:t>CARD</w:t>
            </w:r>
          </w:p>
        </w:tc>
        <w:tc>
          <w:tcPr>
            <w:tcW w:type="dxa" w:w="2691"/>
          </w:tcPr>
          <w:p>
            <w:pPr>
              <w:spacing w:after="20" w:before="20"/>
              <w:jc w:val="right"/>
            </w:pPr>
            <w:r>
              <w:rPr>
                <w:rFonts w:ascii="Times New Roman" w:hAnsi="Times New Roman"/>
                <w:b w:val="0"/>
                <w:i w:val="0"/>
                <w:sz w:val="17"/>
              </w:rPr>
              <w:t>0.0004</w:t>
            </w:r>
          </w:p>
        </w:tc>
        <w:tc>
          <w:tcPr>
            <w:tcW w:type="dxa" w:w="1755"/>
          </w:tcPr>
          <w:p>
            <w:pPr>
              <w:spacing w:after="20" w:before="20"/>
              <w:jc w:val="left"/>
            </w:pPr>
            <w:r>
              <w:rPr>
                <w:rFonts w:ascii="Times New Roman" w:hAnsi="Times New Roman"/>
                <w:b w:val="0"/>
                <w:i w:val="0"/>
                <w:sz w:val="17"/>
              </w:rPr>
              <w:t>[−0.026, 0.027]</w:t>
            </w:r>
          </w:p>
        </w:tc>
        <w:tc>
          <w:tcPr>
            <w:tcW w:type="dxa" w:w="1521"/>
          </w:tcPr>
          <w:p>
            <w:pPr>
              <w:spacing w:after="20" w:before="20"/>
              <w:jc w:val="right"/>
            </w:pPr>
            <w:r>
              <w:rPr>
                <w:rFonts w:ascii="Times New Roman" w:hAnsi="Times New Roman"/>
                <w:b w:val="0"/>
                <w:i w:val="0"/>
                <w:sz w:val="17"/>
              </w:rPr>
              <w:t>4/11</w:t>
            </w:r>
          </w:p>
        </w:tc>
        <w:tc>
          <w:tcPr>
            <w:tcW w:type="dxa" w:w="2574"/>
          </w:tcPr>
          <w:p>
            <w:pPr>
              <w:spacing w:after="20" w:before="20"/>
              <w:jc w:val="left"/>
            </w:pPr>
            <w:r>
              <w:rPr>
                <w:rFonts w:ascii="Times New Roman" w:hAnsi="Times New Roman"/>
                <w:b w:val="0"/>
                <w:i w:val="0"/>
                <w:sz w:val="17"/>
              </w:rPr>
              <w:t>0.95 → 0.86 pp (0.90×)</w:t>
            </w:r>
          </w:p>
        </w:tc>
      </w:tr>
      <w:tr>
        <w:tc>
          <w:tcPr>
            <w:tcW w:type="dxa" w:w="819"/>
          </w:tcPr>
          <w:p>
            <w:pPr>
              <w:spacing w:after="20" w:before="20"/>
              <w:jc w:val="left"/>
            </w:pPr>
            <w:r>
              <w:rPr>
                <w:rFonts w:ascii="Times New Roman" w:hAnsi="Times New Roman"/>
                <w:b w:val="0"/>
                <w:i w:val="0"/>
                <w:sz w:val="17"/>
              </w:rPr>
              <w:t>SYNC</w:t>
            </w:r>
          </w:p>
        </w:tc>
        <w:tc>
          <w:tcPr>
            <w:tcW w:type="dxa" w:w="2691"/>
          </w:tcPr>
          <w:p>
            <w:pPr>
              <w:spacing w:after="20" w:before="20"/>
              <w:jc w:val="right"/>
            </w:pPr>
            <w:r>
              <w:rPr>
                <w:rFonts w:ascii="Times New Roman" w:hAnsi="Times New Roman"/>
                <w:b w:val="0"/>
                <w:i w:val="0"/>
                <w:sz w:val="17"/>
              </w:rPr>
              <w:t>0.037</w:t>
            </w:r>
          </w:p>
        </w:tc>
        <w:tc>
          <w:tcPr>
            <w:tcW w:type="dxa" w:w="1755"/>
          </w:tcPr>
          <w:p>
            <w:pPr>
              <w:spacing w:after="20" w:before="20"/>
              <w:jc w:val="left"/>
            </w:pPr>
            <w:r>
              <w:rPr>
                <w:rFonts w:ascii="Times New Roman" w:hAnsi="Times New Roman"/>
                <w:b w:val="0"/>
                <w:i w:val="0"/>
                <w:sz w:val="17"/>
              </w:rPr>
              <w:t>[−0.007, 0.080]</w:t>
            </w:r>
          </w:p>
        </w:tc>
        <w:tc>
          <w:tcPr>
            <w:tcW w:type="dxa" w:w="1521"/>
          </w:tcPr>
          <w:p>
            <w:pPr>
              <w:spacing w:after="20" w:before="20"/>
              <w:jc w:val="right"/>
            </w:pPr>
            <w:r>
              <w:rPr>
                <w:rFonts w:ascii="Times New Roman" w:hAnsi="Times New Roman"/>
                <w:b w:val="0"/>
                <w:i w:val="0"/>
                <w:sz w:val="17"/>
              </w:rPr>
              <w:t>10/11</w:t>
            </w:r>
          </w:p>
        </w:tc>
        <w:tc>
          <w:tcPr>
            <w:tcW w:type="dxa" w:w="2574"/>
          </w:tcPr>
          <w:p>
            <w:pPr>
              <w:spacing w:after="20" w:before="20"/>
              <w:jc w:val="left"/>
            </w:pPr>
            <w:r>
              <w:rPr>
                <w:rFonts w:ascii="Times New Roman" w:hAnsi="Times New Roman"/>
                <w:b w:val="0"/>
                <w:i w:val="0"/>
                <w:sz w:val="17"/>
              </w:rPr>
              <w:t>0.56 → 0.60 pp (1.07×)</w:t>
            </w:r>
          </w:p>
        </w:tc>
      </w:tr>
      <w:tr>
        <w:tc>
          <w:tcPr>
            <w:tcW w:type="dxa" w:w="819"/>
          </w:tcPr>
          <w:p>
            <w:pPr>
              <w:spacing w:after="20" w:before="20"/>
              <w:jc w:val="left"/>
            </w:pPr>
            <w:r>
              <w:rPr>
                <w:rFonts w:ascii="Times New Roman" w:hAnsi="Times New Roman"/>
                <w:b w:val="0"/>
                <w:i w:val="0"/>
                <w:sz w:val="17"/>
              </w:rPr>
              <w:t>DEFER</w:t>
            </w:r>
          </w:p>
        </w:tc>
        <w:tc>
          <w:tcPr>
            <w:tcW w:type="dxa" w:w="2691"/>
          </w:tcPr>
          <w:p>
            <w:pPr>
              <w:spacing w:after="20" w:before="20"/>
              <w:jc w:val="right"/>
            </w:pPr>
            <w:r>
              <w:rPr>
                <w:rFonts w:ascii="Times New Roman" w:hAnsi="Times New Roman"/>
                <w:b w:val="0"/>
                <w:i w:val="0"/>
                <w:sz w:val="17"/>
              </w:rPr>
              <w:t>0.041</w:t>
            </w:r>
          </w:p>
        </w:tc>
        <w:tc>
          <w:tcPr>
            <w:tcW w:type="dxa" w:w="1755"/>
          </w:tcPr>
          <w:p>
            <w:pPr>
              <w:spacing w:after="20" w:before="20"/>
              <w:jc w:val="left"/>
            </w:pPr>
            <w:r>
              <w:rPr>
                <w:rFonts w:ascii="Times New Roman" w:hAnsi="Times New Roman"/>
                <w:b w:val="0"/>
                <w:i w:val="0"/>
                <w:sz w:val="17"/>
              </w:rPr>
              <w:t>[−0.009, 0.092]</w:t>
            </w:r>
          </w:p>
        </w:tc>
        <w:tc>
          <w:tcPr>
            <w:tcW w:type="dxa" w:w="1521"/>
          </w:tcPr>
          <w:p>
            <w:pPr>
              <w:spacing w:after="20" w:before="20"/>
              <w:jc w:val="right"/>
            </w:pPr>
            <w:r>
              <w:rPr>
                <w:rFonts w:ascii="Times New Roman" w:hAnsi="Times New Roman"/>
                <w:b w:val="0"/>
                <w:i w:val="0"/>
                <w:sz w:val="17"/>
              </w:rPr>
              <w:t>8/11</w:t>
            </w:r>
          </w:p>
        </w:tc>
        <w:tc>
          <w:tcPr>
            <w:tcW w:type="dxa" w:w="2574"/>
          </w:tcPr>
          <w:p>
            <w:pPr>
              <w:spacing w:after="20" w:before="20"/>
              <w:jc w:val="left"/>
            </w:pPr>
            <w:r>
              <w:rPr>
                <w:rFonts w:ascii="Times New Roman" w:hAnsi="Times New Roman"/>
                <w:b w:val="0"/>
                <w:i w:val="0"/>
                <w:sz w:val="17"/>
              </w:rPr>
              <w:t>0.19 → 0.24 pp (1.25×)</w:t>
            </w:r>
          </w:p>
        </w:tc>
      </w:tr>
      <w:tr>
        <w:tc>
          <w:tcPr>
            <w:tcW w:type="dxa" w:w="819"/>
          </w:tcPr>
          <w:p>
            <w:pPr>
              <w:spacing w:after="20" w:before="20"/>
              <w:jc w:val="left"/>
            </w:pPr>
            <w:r>
              <w:rPr>
                <w:rFonts w:ascii="Times New Roman" w:hAnsi="Times New Roman"/>
                <w:b w:val="0"/>
                <w:i w:val="0"/>
                <w:sz w:val="17"/>
              </w:rPr>
              <w:t>PAYLOAD</w:t>
            </w:r>
          </w:p>
        </w:tc>
        <w:tc>
          <w:tcPr>
            <w:tcW w:type="dxa" w:w="2691"/>
          </w:tcPr>
          <w:p>
            <w:pPr>
              <w:spacing w:after="20" w:before="20"/>
              <w:jc w:val="right"/>
            </w:pPr>
            <w:r>
              <w:rPr>
                <w:rFonts w:ascii="Times New Roman" w:hAnsi="Times New Roman"/>
                <w:b w:val="0"/>
                <w:i w:val="0"/>
                <w:sz w:val="17"/>
              </w:rPr>
              <w:t>0.038</w:t>
            </w:r>
          </w:p>
        </w:tc>
        <w:tc>
          <w:tcPr>
            <w:tcW w:type="dxa" w:w="1755"/>
          </w:tcPr>
          <w:p>
            <w:pPr>
              <w:spacing w:after="20" w:before="20"/>
              <w:jc w:val="left"/>
            </w:pPr>
            <w:r>
              <w:rPr>
                <w:rFonts w:ascii="Times New Roman" w:hAnsi="Times New Roman"/>
                <w:b w:val="0"/>
                <w:i w:val="0"/>
                <w:sz w:val="17"/>
              </w:rPr>
              <w:t>[−0.024, 0.100]</w:t>
            </w:r>
          </w:p>
        </w:tc>
        <w:tc>
          <w:tcPr>
            <w:tcW w:type="dxa" w:w="1521"/>
          </w:tcPr>
          <w:p>
            <w:pPr>
              <w:spacing w:after="20" w:before="20"/>
              <w:jc w:val="right"/>
            </w:pPr>
            <w:r>
              <w:rPr>
                <w:rFonts w:ascii="Times New Roman" w:hAnsi="Times New Roman"/>
                <w:b w:val="0"/>
                <w:i w:val="0"/>
                <w:sz w:val="17"/>
              </w:rPr>
              <w:t>7/11</w:t>
            </w:r>
          </w:p>
        </w:tc>
        <w:tc>
          <w:tcPr>
            <w:tcW w:type="dxa" w:w="2574"/>
          </w:tcPr>
          <w:p>
            <w:pPr>
              <w:spacing w:after="20" w:before="20"/>
              <w:jc w:val="left"/>
            </w:pPr>
            <w:r>
              <w:rPr>
                <w:rFonts w:ascii="Times New Roman" w:hAnsi="Times New Roman"/>
                <w:b w:val="0"/>
                <w:i w:val="0"/>
                <w:sz w:val="17"/>
              </w:rPr>
              <w:t>0.81 → 0.74 pp (0.91×)</w:t>
            </w:r>
          </w:p>
        </w:tc>
      </w:tr>
    </w:tbl>
    <w:p>
      <w:pPr>
        <w:spacing w:after="40"/>
      </w:pPr>
    </w:p>
    <w:p>
      <w:pPr>
        <w:jc w:val="both"/>
      </w:pPr>
      <w:r>
        <w:rPr>
          <w:rFonts w:ascii="Times New Roman" w:hAnsi="Times New Roman"/>
          <w:b w:val="0"/>
          <w:i w:val="0"/>
          <w:sz w:val="21"/>
        </w:rPr>
        <w:t>No axis has a slope distinguishable from zero. The CARD slope is not merely insignificant but numerically negligible (0.0004 pp per doubling, four positive runs of eleven — a coin flip).</w:t>
      </w:r>
    </w:p>
    <w:p>
      <w:pPr>
        <w:jc w:val="both"/>
      </w:pPr>
      <w:r>
        <w:rPr>
          <w:rFonts w:ascii="Times New Roman" w:hAnsi="Times New Roman"/>
          <w:b w:val="0"/>
          <w:i w:val="0"/>
          <w:sz w:val="21"/>
        </w:rPr>
        <w:t xml:space="preserve">This is not because the server is idle. Over the same range the </w:t>
      </w:r>
      <w:r>
        <w:rPr>
          <w:rFonts w:ascii="Consolas" w:hAnsi="Consolas"/>
          <w:b w:val="0"/>
          <w:i w:val="0"/>
          <w:color w:val="8B1A1A"/>
          <w:sz w:val="17"/>
        </w:rPr>
        <w:t>disabled</w:t>
      </w:r>
      <w:r>
        <w:rPr>
          <w:rFonts w:ascii="Times New Roman" w:hAnsi="Times New Roman"/>
          <w:b w:val="0"/>
          <w:i w:val="0"/>
          <w:sz w:val="21"/>
        </w:rPr>
        <w:t xml:space="preserve"> baseline is unambiguously saturated: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38"/>
            <w:shd w:val="clear" w:color="auto" w:fill="E8E8E8"/>
          </w:tcPr>
          <w:p>
            <w:pPr>
              <w:spacing w:after="20" w:before="20"/>
              <w:jc w:val="right"/>
            </w:pPr>
            <w:r>
              <w:rPr>
                <w:rFonts w:ascii="Times New Roman" w:hAnsi="Times New Roman"/>
                <w:b/>
                <w:i w:val="0"/>
                <w:sz w:val="17"/>
              </w:rPr>
              <w:t>Clients</w:t>
            </w:r>
          </w:p>
        </w:tc>
        <w:tc>
          <w:tcPr>
            <w:tcW w:type="dxa" w:w="4212"/>
            <w:shd w:val="clear" w:color="auto" w:fill="E8E8E8"/>
          </w:tcPr>
          <w:p>
            <w:pPr>
              <w:spacing w:after="20" w:before="20"/>
              <w:jc w:val="right"/>
            </w:pPr>
            <w:r>
              <w:rPr>
                <w:rFonts w:ascii="Times New Roman" w:hAnsi="Times New Roman"/>
                <w:b/>
                <w:i w:val="0"/>
                <w:sz w:val="17"/>
              </w:rPr>
              <w:t>Throughput (ops/s)</w:t>
            </w:r>
          </w:p>
        </w:tc>
        <w:tc>
          <w:tcPr>
            <w:tcW w:type="dxa" w:w="1638"/>
            <w:shd w:val="clear" w:color="auto" w:fill="E8E8E8"/>
          </w:tcPr>
          <w:p>
            <w:pPr>
              <w:spacing w:after="20" w:before="20"/>
              <w:jc w:val="right"/>
            </w:pPr>
            <w:r>
              <w:rPr>
                <w:rFonts w:ascii="Times New Roman" w:hAnsi="Times New Roman"/>
                <w:b/>
                <w:i w:val="0"/>
                <w:sz w:val="17"/>
              </w:rPr>
              <w:t>p50</w:t>
            </w:r>
          </w:p>
        </w:tc>
        <w:tc>
          <w:tcPr>
            <w:tcW w:type="dxa" w:w="1872"/>
            <w:shd w:val="clear" w:color="auto" w:fill="E8E8E8"/>
          </w:tcPr>
          <w:p>
            <w:pPr>
              <w:spacing w:after="20" w:before="20"/>
              <w:jc w:val="right"/>
            </w:pPr>
            <w:r>
              <w:rPr>
                <w:rFonts w:ascii="Times New Roman" w:hAnsi="Times New Roman"/>
                <w:b/>
                <w:i w:val="0"/>
                <w:sz w:val="17"/>
              </w:rPr>
              <w:t>p99</w:t>
            </w:r>
          </w:p>
        </w:tc>
      </w:tr>
      <w:tr>
        <w:tc>
          <w:tcPr>
            <w:tcW w:type="dxa" w:w="1638"/>
          </w:tcPr>
          <w:p>
            <w:pPr>
              <w:spacing w:after="20" w:before="20"/>
              <w:jc w:val="right"/>
            </w:pPr>
            <w:r>
              <w:rPr>
                <w:rFonts w:ascii="Times New Roman" w:hAnsi="Times New Roman"/>
                <w:b w:val="0"/>
                <w:i w:val="0"/>
                <w:sz w:val="17"/>
              </w:rPr>
              <w:t>100</w:t>
            </w:r>
          </w:p>
        </w:tc>
        <w:tc>
          <w:tcPr>
            <w:tcW w:type="dxa" w:w="4212"/>
          </w:tcPr>
          <w:p>
            <w:pPr>
              <w:spacing w:after="20" w:before="20"/>
              <w:jc w:val="right"/>
            </w:pPr>
            <w:r>
              <w:rPr>
                <w:rFonts w:ascii="Times New Roman" w:hAnsi="Times New Roman"/>
                <w:b w:val="0"/>
                <w:i w:val="0"/>
                <w:sz w:val="17"/>
              </w:rPr>
              <w:t>290,540</w:t>
            </w:r>
          </w:p>
        </w:tc>
        <w:tc>
          <w:tcPr>
            <w:tcW w:type="dxa" w:w="1638"/>
          </w:tcPr>
          <w:p>
            <w:pPr>
              <w:spacing w:after="20" w:before="20"/>
              <w:jc w:val="right"/>
            </w:pPr>
            <w:r>
              <w:rPr>
                <w:rFonts w:ascii="Times New Roman" w:hAnsi="Times New Roman"/>
                <w:b w:val="0"/>
                <w:i w:val="0"/>
                <w:sz w:val="17"/>
              </w:rPr>
              <w:t>0.32 ms</w:t>
            </w:r>
          </w:p>
        </w:tc>
        <w:tc>
          <w:tcPr>
            <w:tcW w:type="dxa" w:w="1872"/>
          </w:tcPr>
          <w:p>
            <w:pPr>
              <w:spacing w:after="20" w:before="20"/>
              <w:jc w:val="right"/>
            </w:pPr>
            <w:r>
              <w:rPr>
                <w:rFonts w:ascii="Times New Roman" w:hAnsi="Times New Roman"/>
                <w:b w:val="0"/>
                <w:i w:val="0"/>
                <w:sz w:val="17"/>
              </w:rPr>
              <w:t>0.76 ms</w:t>
            </w:r>
          </w:p>
        </w:tc>
      </w:tr>
      <w:tr>
        <w:tc>
          <w:tcPr>
            <w:tcW w:type="dxa" w:w="1638"/>
          </w:tcPr>
          <w:p>
            <w:pPr>
              <w:spacing w:after="20" w:before="20"/>
              <w:jc w:val="right"/>
            </w:pPr>
            <w:r>
              <w:rPr>
                <w:rFonts w:ascii="Times New Roman" w:hAnsi="Times New Roman"/>
                <w:b w:val="0"/>
                <w:i w:val="0"/>
                <w:sz w:val="17"/>
              </w:rPr>
              <w:t>1000</w:t>
            </w:r>
          </w:p>
        </w:tc>
        <w:tc>
          <w:tcPr>
            <w:tcW w:type="dxa" w:w="4212"/>
          </w:tcPr>
          <w:p>
            <w:pPr>
              <w:spacing w:after="20" w:before="20"/>
              <w:jc w:val="right"/>
            </w:pPr>
            <w:r>
              <w:rPr>
                <w:rFonts w:ascii="Times New Roman" w:hAnsi="Times New Roman"/>
                <w:b w:val="0"/>
                <w:i w:val="0"/>
                <w:sz w:val="17"/>
              </w:rPr>
              <w:t>291,054</w:t>
            </w:r>
          </w:p>
        </w:tc>
        <w:tc>
          <w:tcPr>
            <w:tcW w:type="dxa" w:w="1638"/>
          </w:tcPr>
          <w:p>
            <w:pPr>
              <w:spacing w:after="20" w:before="20"/>
              <w:jc w:val="right"/>
            </w:pPr>
            <w:r>
              <w:rPr>
                <w:rFonts w:ascii="Times New Roman" w:hAnsi="Times New Roman"/>
                <w:b w:val="0"/>
                <w:i w:val="0"/>
                <w:sz w:val="17"/>
              </w:rPr>
              <w:t>1.94 ms</w:t>
            </w:r>
          </w:p>
        </w:tc>
        <w:tc>
          <w:tcPr>
            <w:tcW w:type="dxa" w:w="1872"/>
          </w:tcPr>
          <w:p>
            <w:pPr>
              <w:spacing w:after="20" w:before="20"/>
              <w:jc w:val="right"/>
            </w:pPr>
            <w:r>
              <w:rPr>
                <w:rFonts w:ascii="Times New Roman" w:hAnsi="Times New Roman"/>
                <w:b w:val="0"/>
                <w:i w:val="0"/>
                <w:sz w:val="17"/>
              </w:rPr>
              <w:t>14.58 ms</w:t>
            </w:r>
          </w:p>
        </w:tc>
      </w:tr>
      <w:tr>
        <w:tc>
          <w:tcPr>
            <w:tcW w:type="dxa" w:w="1638"/>
          </w:tcPr>
          <w:p>
            <w:pPr>
              <w:spacing w:after="20" w:before="20"/>
              <w:jc w:val="right"/>
            </w:pPr>
            <w:r>
              <w:rPr>
                <w:rFonts w:ascii="Times New Roman" w:hAnsi="Times New Roman"/>
                <w:b w:val="0"/>
                <w:i w:val="0"/>
                <w:sz w:val="17"/>
              </w:rPr>
              <w:t>3000</w:t>
            </w:r>
          </w:p>
        </w:tc>
        <w:tc>
          <w:tcPr>
            <w:tcW w:type="dxa" w:w="4212"/>
          </w:tcPr>
          <w:p>
            <w:pPr>
              <w:spacing w:after="20" w:before="20"/>
              <w:jc w:val="right"/>
            </w:pPr>
            <w:r>
              <w:rPr>
                <w:rFonts w:ascii="Times New Roman" w:hAnsi="Times New Roman"/>
                <w:b w:val="0"/>
                <w:i w:val="0"/>
                <w:sz w:val="17"/>
              </w:rPr>
              <w:t>259,932</w:t>
            </w:r>
          </w:p>
        </w:tc>
        <w:tc>
          <w:tcPr>
            <w:tcW w:type="dxa" w:w="1638"/>
          </w:tcPr>
          <w:p>
            <w:pPr>
              <w:spacing w:after="20" w:before="20"/>
              <w:jc w:val="right"/>
            </w:pPr>
            <w:r>
              <w:rPr>
                <w:rFonts w:ascii="Times New Roman" w:hAnsi="Times New Roman"/>
                <w:b w:val="0"/>
                <w:i w:val="0"/>
                <w:sz w:val="17"/>
              </w:rPr>
              <w:t>2.27 ms</w:t>
            </w:r>
          </w:p>
        </w:tc>
        <w:tc>
          <w:tcPr>
            <w:tcW w:type="dxa" w:w="1872"/>
          </w:tcPr>
          <w:p>
            <w:pPr>
              <w:spacing w:after="20" w:before="20"/>
              <w:jc w:val="right"/>
            </w:pPr>
            <w:r>
              <w:rPr>
                <w:rFonts w:ascii="Times New Roman" w:hAnsi="Times New Roman"/>
                <w:b w:val="0"/>
                <w:i w:val="0"/>
                <w:sz w:val="17"/>
              </w:rPr>
              <w:t>78.85 ms</w:t>
            </w:r>
          </w:p>
        </w:tc>
      </w:tr>
    </w:tbl>
    <w:p>
      <w:pPr>
        <w:spacing w:after="40"/>
      </w:pPr>
    </w:p>
    <w:p>
      <w:pPr>
        <w:jc w:val="both"/>
      </w:pPr>
      <w:r>
        <w:rPr>
          <w:rFonts w:ascii="Times New Roman" w:hAnsi="Times New Roman"/>
          <w:b w:val="0"/>
          <w:i w:val="0"/>
          <w:sz w:val="21"/>
        </w:rPr>
        <w:t>p99 grows 104x and throughput declines 10.5%; the queue is deep and real. The telemetry cost simply does not participate.</w:t>
      </w:r>
    </w:p>
    <w:p>
      <w:pPr>
        <w:jc w:val="both"/>
      </w:pPr>
      <w:r>
        <w:rPr>
          <w:rFonts w:ascii="Times New Roman" w:hAnsi="Times New Roman"/>
          <w:b/>
          <w:i w:val="0"/>
          <w:sz w:val="21"/>
        </w:rPr>
        <w:t>Worker threads do move the synchronization axis.</w:t>
      </w:r>
      <w:r>
        <w:rPr>
          <w:rFonts w:ascii="Times New Roman" w:hAnsi="Times New Roman"/>
          <w:b w:val="0"/>
          <w:i w:val="0"/>
          <w:sz w:val="21"/>
        </w:rPr>
        <w:t xml:space="preserve"> At matched client load (mixed workload, ≤ 1000 clients), comparing 4 versus 8 worker threads: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184"/>
            <w:shd w:val="clear" w:color="auto" w:fill="E8E8E8"/>
          </w:tcPr>
          <w:p>
            <w:pPr>
              <w:spacing w:after="20" w:before="20"/>
              <w:jc w:val="left"/>
            </w:pPr>
            <w:r>
              <w:rPr>
                <w:rFonts w:ascii="Times New Roman" w:hAnsi="Times New Roman"/>
                <w:b/>
                <w:i w:val="0"/>
                <w:sz w:val="17"/>
              </w:rPr>
              <w:t>Axis</w:t>
            </w:r>
          </w:p>
        </w:tc>
        <w:tc>
          <w:tcPr>
            <w:tcW w:type="dxa" w:w="2808"/>
            <w:shd w:val="clear" w:color="auto" w:fill="E8E8E8"/>
          </w:tcPr>
          <w:p>
            <w:pPr>
              <w:spacing w:after="20" w:before="20"/>
              <w:jc w:val="right"/>
            </w:pPr>
            <w:r>
              <w:rPr>
                <w:rFonts w:ascii="Times New Roman" w:hAnsi="Times New Roman"/>
                <w:b/>
                <w:i w:val="0"/>
                <w:sz w:val="17"/>
              </w:rPr>
              <w:t>4 workers</w:t>
            </w:r>
          </w:p>
        </w:tc>
        <w:tc>
          <w:tcPr>
            <w:tcW w:type="dxa" w:w="2808"/>
            <w:shd w:val="clear" w:color="auto" w:fill="E8E8E8"/>
          </w:tcPr>
          <w:p>
            <w:pPr>
              <w:spacing w:after="20" w:before="20"/>
              <w:jc w:val="right"/>
            </w:pPr>
            <w:r>
              <w:rPr>
                <w:rFonts w:ascii="Times New Roman" w:hAnsi="Times New Roman"/>
                <w:b/>
                <w:i w:val="0"/>
                <w:sz w:val="17"/>
              </w:rPr>
              <w:t>8 workers</w:t>
            </w:r>
          </w:p>
        </w:tc>
        <w:tc>
          <w:tcPr>
            <w:tcW w:type="dxa" w:w="1560"/>
            <w:shd w:val="clear" w:color="auto" w:fill="E8E8E8"/>
          </w:tcPr>
          <w:p>
            <w:pPr>
              <w:spacing w:after="20" w:before="20"/>
              <w:jc w:val="right"/>
            </w:pPr>
            <w:r>
              <w:rPr>
                <w:rFonts w:ascii="Times New Roman" w:hAnsi="Times New Roman"/>
                <w:b/>
                <w:i w:val="0"/>
                <w:sz w:val="17"/>
              </w:rPr>
              <w:t>Ratio</w:t>
            </w:r>
          </w:p>
        </w:tc>
      </w:tr>
      <w:tr>
        <w:tc>
          <w:tcPr>
            <w:tcW w:type="dxa" w:w="2184"/>
          </w:tcPr>
          <w:p>
            <w:pPr>
              <w:spacing w:after="20" w:before="20"/>
              <w:jc w:val="left"/>
            </w:pPr>
            <w:r>
              <w:rPr>
                <w:rFonts w:ascii="Times New Roman" w:hAnsi="Times New Roman"/>
                <w:b/>
                <w:i w:val="0"/>
                <w:sz w:val="17"/>
              </w:rPr>
              <w:t>SYNC</w:t>
            </w:r>
          </w:p>
        </w:tc>
        <w:tc>
          <w:tcPr>
            <w:tcW w:type="dxa" w:w="2808"/>
          </w:tcPr>
          <w:p>
            <w:pPr>
              <w:spacing w:after="20" w:before="20"/>
              <w:jc w:val="right"/>
            </w:pPr>
            <w:r>
              <w:rPr>
                <w:rFonts w:ascii="Times New Roman" w:hAnsi="Times New Roman"/>
                <w:b w:val="0"/>
                <w:i w:val="0"/>
                <w:sz w:val="17"/>
              </w:rPr>
              <w:t>0.18 pp</w:t>
            </w:r>
          </w:p>
        </w:tc>
        <w:tc>
          <w:tcPr>
            <w:tcW w:type="dxa" w:w="2808"/>
          </w:tcPr>
          <w:p>
            <w:pPr>
              <w:spacing w:after="20" w:before="20"/>
              <w:jc w:val="right"/>
            </w:pPr>
            <w:r>
              <w:rPr>
                <w:rFonts w:ascii="Times New Roman" w:hAnsi="Times New Roman"/>
                <w:b w:val="0"/>
                <w:i w:val="0"/>
                <w:sz w:val="17"/>
              </w:rPr>
              <w:t>0.46 pp</w:t>
            </w:r>
          </w:p>
        </w:tc>
        <w:tc>
          <w:tcPr>
            <w:tcW w:type="dxa" w:w="1560"/>
          </w:tcPr>
          <w:p>
            <w:pPr>
              <w:spacing w:after="20" w:before="20"/>
              <w:jc w:val="right"/>
            </w:pPr>
            <w:r>
              <w:rPr>
                <w:rFonts w:ascii="Times New Roman" w:hAnsi="Times New Roman"/>
                <w:b/>
                <w:i w:val="0"/>
                <w:sz w:val="17"/>
              </w:rPr>
              <w:t>2.60×</w:t>
            </w:r>
          </w:p>
        </w:tc>
      </w:tr>
      <w:tr>
        <w:tc>
          <w:tcPr>
            <w:tcW w:type="dxa" w:w="2184"/>
          </w:tcPr>
          <w:p>
            <w:pPr>
              <w:spacing w:after="20" w:before="20"/>
              <w:jc w:val="left"/>
            </w:pPr>
            <w:r>
              <w:rPr>
                <w:rFonts w:ascii="Times New Roman" w:hAnsi="Times New Roman"/>
                <w:b w:val="0"/>
                <w:i w:val="0"/>
                <w:sz w:val="17"/>
              </w:rPr>
              <w:t>DEFER</w:t>
            </w:r>
          </w:p>
        </w:tc>
        <w:tc>
          <w:tcPr>
            <w:tcW w:type="dxa" w:w="2808"/>
          </w:tcPr>
          <w:p>
            <w:pPr>
              <w:spacing w:after="20" w:before="20"/>
              <w:jc w:val="right"/>
            </w:pPr>
            <w:r>
              <w:rPr>
                <w:rFonts w:ascii="Times New Roman" w:hAnsi="Times New Roman"/>
                <w:b w:val="0"/>
                <w:i w:val="0"/>
                <w:sz w:val="17"/>
              </w:rPr>
              <w:t>0.26 pp</w:t>
            </w:r>
          </w:p>
        </w:tc>
        <w:tc>
          <w:tcPr>
            <w:tcW w:type="dxa" w:w="2808"/>
          </w:tcPr>
          <w:p>
            <w:pPr>
              <w:spacing w:after="20" w:before="20"/>
              <w:jc w:val="right"/>
            </w:pPr>
            <w:r>
              <w:rPr>
                <w:rFonts w:ascii="Times New Roman" w:hAnsi="Times New Roman"/>
                <w:b w:val="0"/>
                <w:i w:val="0"/>
                <w:sz w:val="17"/>
              </w:rPr>
              <w:t>0.36 pp</w:t>
            </w:r>
          </w:p>
        </w:tc>
        <w:tc>
          <w:tcPr>
            <w:tcW w:type="dxa" w:w="1560"/>
          </w:tcPr>
          <w:p>
            <w:pPr>
              <w:spacing w:after="20" w:before="20"/>
              <w:jc w:val="right"/>
            </w:pPr>
            <w:r>
              <w:rPr>
                <w:rFonts w:ascii="Times New Roman" w:hAnsi="Times New Roman"/>
                <w:b w:val="0"/>
                <w:i w:val="0"/>
                <w:sz w:val="17"/>
              </w:rPr>
              <w:t>1.39×</w:t>
            </w:r>
          </w:p>
        </w:tc>
      </w:tr>
      <w:tr>
        <w:tc>
          <w:tcPr>
            <w:tcW w:type="dxa" w:w="2184"/>
          </w:tcPr>
          <w:p>
            <w:pPr>
              <w:spacing w:after="20" w:before="20"/>
              <w:jc w:val="left"/>
            </w:pPr>
            <w:r>
              <w:rPr>
                <w:rFonts w:ascii="Times New Roman" w:hAnsi="Times New Roman"/>
                <w:b w:val="0"/>
                <w:i w:val="0"/>
                <w:sz w:val="17"/>
              </w:rPr>
              <w:t>PAYLOAD</w:t>
            </w:r>
          </w:p>
        </w:tc>
        <w:tc>
          <w:tcPr>
            <w:tcW w:type="dxa" w:w="2808"/>
          </w:tcPr>
          <w:p>
            <w:pPr>
              <w:spacing w:after="20" w:before="20"/>
              <w:jc w:val="right"/>
            </w:pPr>
            <w:r>
              <w:rPr>
                <w:rFonts w:ascii="Times New Roman" w:hAnsi="Times New Roman"/>
                <w:b w:val="0"/>
                <w:i w:val="0"/>
                <w:sz w:val="17"/>
              </w:rPr>
              <w:t>1.00 pp</w:t>
            </w:r>
          </w:p>
        </w:tc>
        <w:tc>
          <w:tcPr>
            <w:tcW w:type="dxa" w:w="2808"/>
          </w:tcPr>
          <w:p>
            <w:pPr>
              <w:spacing w:after="20" w:before="20"/>
              <w:jc w:val="right"/>
            </w:pPr>
            <w:r>
              <w:rPr>
                <w:rFonts w:ascii="Times New Roman" w:hAnsi="Times New Roman"/>
                <w:b w:val="0"/>
                <w:i w:val="0"/>
                <w:sz w:val="17"/>
              </w:rPr>
              <w:t>0.95 pp</w:t>
            </w:r>
          </w:p>
        </w:tc>
        <w:tc>
          <w:tcPr>
            <w:tcW w:type="dxa" w:w="1560"/>
          </w:tcPr>
          <w:p>
            <w:pPr>
              <w:spacing w:after="20" w:before="20"/>
              <w:jc w:val="right"/>
            </w:pPr>
            <w:r>
              <w:rPr>
                <w:rFonts w:ascii="Times New Roman" w:hAnsi="Times New Roman"/>
                <w:b w:val="0"/>
                <w:i w:val="0"/>
                <w:sz w:val="17"/>
              </w:rPr>
              <w:t>0.94×</w:t>
            </w:r>
          </w:p>
        </w:tc>
      </w:tr>
      <w:tr>
        <w:tc>
          <w:tcPr>
            <w:tcW w:type="dxa" w:w="2184"/>
          </w:tcPr>
          <w:p>
            <w:pPr>
              <w:spacing w:after="20" w:before="20"/>
              <w:jc w:val="left"/>
            </w:pPr>
            <w:r>
              <w:rPr>
                <w:rFonts w:ascii="Times New Roman" w:hAnsi="Times New Roman"/>
                <w:b w:val="0"/>
                <w:i w:val="0"/>
                <w:sz w:val="17"/>
              </w:rPr>
              <w:t>CARD</w:t>
            </w:r>
          </w:p>
        </w:tc>
        <w:tc>
          <w:tcPr>
            <w:tcW w:type="dxa" w:w="2808"/>
          </w:tcPr>
          <w:p>
            <w:pPr>
              <w:spacing w:after="20" w:before="20"/>
              <w:jc w:val="right"/>
            </w:pPr>
            <w:r>
              <w:rPr>
                <w:rFonts w:ascii="Times New Roman" w:hAnsi="Times New Roman"/>
                <w:b w:val="0"/>
                <w:i w:val="0"/>
                <w:sz w:val="17"/>
              </w:rPr>
              <w:t>0.79 pp</w:t>
            </w:r>
          </w:p>
        </w:tc>
        <w:tc>
          <w:tcPr>
            <w:tcW w:type="dxa" w:w="2808"/>
          </w:tcPr>
          <w:p>
            <w:pPr>
              <w:spacing w:after="20" w:before="20"/>
              <w:jc w:val="right"/>
            </w:pPr>
            <w:r>
              <w:rPr>
                <w:rFonts w:ascii="Times New Roman" w:hAnsi="Times New Roman"/>
                <w:b w:val="0"/>
                <w:i w:val="0"/>
                <w:sz w:val="17"/>
              </w:rPr>
              <w:t>0.72 pp</w:t>
            </w:r>
          </w:p>
        </w:tc>
        <w:tc>
          <w:tcPr>
            <w:tcW w:type="dxa" w:w="1560"/>
          </w:tcPr>
          <w:p>
            <w:pPr>
              <w:spacing w:after="20" w:before="20"/>
              <w:jc w:val="right"/>
            </w:pPr>
            <w:r>
              <w:rPr>
                <w:rFonts w:ascii="Times New Roman" w:hAnsi="Times New Roman"/>
                <w:b w:val="0"/>
                <w:i w:val="0"/>
                <w:sz w:val="17"/>
              </w:rPr>
              <w:t>0.92×</w:t>
            </w:r>
          </w:p>
        </w:tc>
      </w:tr>
    </w:tbl>
    <w:p>
      <w:pPr>
        <w:spacing w:after="40"/>
      </w:pPr>
    </w:p>
    <w:p>
      <w:pPr>
        <w:jc w:val="both"/>
      </w:pPr>
      <w:r>
        <w:rPr>
          <w:rFonts w:ascii="Times New Roman" w:hAnsi="Times New Roman"/>
          <w:b w:val="0"/>
          <w:i w:val="0"/>
          <w:sz w:val="21"/>
        </w:rPr>
        <w:t xml:space="preserve">The interpretation is mechanical and follows from §3.1. In a thread-pool server, adding clients adds </w:t>
      </w:r>
      <w:r>
        <w:rPr>
          <w:rFonts w:ascii="Times New Roman" w:hAnsi="Times New Roman"/>
          <w:b w:val="0"/>
          <w:i/>
          <w:sz w:val="21"/>
        </w:rPr>
        <w:t>queued work</w:t>
      </w:r>
      <w:r>
        <w:rPr>
          <w:rFonts w:ascii="Times New Roman" w:hAnsi="Times New Roman"/>
          <w:b w:val="0"/>
          <w:i w:val="0"/>
          <w:sz w:val="21"/>
        </w:rPr>
        <w:t xml:space="preserve">, not </w:t>
      </w:r>
      <w:r>
        <w:rPr>
          <w:rFonts w:ascii="Times New Roman" w:hAnsi="Times New Roman"/>
          <w:b w:val="0"/>
          <w:i/>
          <w:sz w:val="21"/>
        </w:rPr>
        <w:t>concurrent contenders</w:t>
      </w:r>
      <w:r>
        <w:rPr>
          <w:rFonts w:ascii="Times New Roman" w:hAnsi="Times New Roman"/>
          <w:b w:val="0"/>
          <w:i w:val="0"/>
          <w:sz w:val="21"/>
        </w:rPr>
        <w:t xml:space="preserve">: at most </w:t>
      </w:r>
      <w:r>
        <w:rPr>
          <w:rFonts w:ascii="Consolas" w:hAnsi="Consolas"/>
          <w:b w:val="0"/>
          <w:i w:val="0"/>
          <w:color w:val="8B1A1A"/>
          <w:sz w:val="17"/>
        </w:rPr>
        <w:t>nproc</w:t>
      </w:r>
      <w:r>
        <w:rPr>
          <w:rFonts w:ascii="Times New Roman" w:hAnsi="Times New Roman"/>
          <w:b w:val="0"/>
          <w:i w:val="0"/>
          <w:sz w:val="21"/>
        </w:rPr>
        <w:t xml:space="preserve"> threads can be inside the metrics path at any instant, whether 100 or 3000 clients are connected. Contention-sensitive costs therefore scale with the pool, and per-operation costs (materializing a key, growing a map, recording a histogram) scale with neither — they are constants per request.</w:t>
      </w:r>
    </w:p>
    <w:p>
      <w:pPr>
        <w:jc w:val="both"/>
      </w:pPr>
      <w:r>
        <w:rPr>
          <w:rFonts w:ascii="Times New Roman" w:hAnsi="Times New Roman"/>
          <w:b w:val="0"/>
          <w:i w:val="0"/>
          <w:sz w:val="21"/>
        </w:rPr>
        <w:t xml:space="preserve">Two consequences follow. </w:t>
      </w:r>
      <w:r>
        <w:rPr>
          <w:rFonts w:ascii="Times New Roman" w:hAnsi="Times New Roman"/>
          <w:b/>
          <w:i w:val="0"/>
          <w:sz w:val="21"/>
        </w:rPr>
        <w:t>Methodologically</w:t>
      </w:r>
      <w:r>
        <w:rPr>
          <w:rFonts w:ascii="Times New Roman" w:hAnsi="Times New Roman"/>
          <w:b w:val="0"/>
          <w:i w:val="0"/>
          <w:sz w:val="21"/>
        </w:rPr>
        <w:t xml:space="preserve">, the conventional way to expose telemetry contention — raise the client count until it shows — cannot work on this architecture; the informative axis is core count. </w:t>
      </w:r>
      <w:r>
        <w:rPr>
          <w:rFonts w:ascii="Times New Roman" w:hAnsi="Times New Roman"/>
          <w:b/>
          <w:i w:val="0"/>
          <w:sz w:val="21"/>
        </w:rPr>
        <w:t>For extrapolation</w:t>
      </w:r>
      <w:r>
        <w:rPr>
          <w:rFonts w:ascii="Times New Roman" w:hAnsi="Times New Roman"/>
          <w:b w:val="0"/>
          <w:i w:val="0"/>
          <w:sz w:val="21"/>
        </w:rPr>
        <w:t xml:space="preserve">, because SYNC grows with parallelism while CARD does not, their ratio must close: CARD/SYNC falls from 4.5× at 4 workers to 1.66× at 8. Naively continuing that trend puts a crossover near 11–16 workers, beyond which contention would again dominate. We flag this as an extrapolation from </w:t>
      </w:r>
      <w:r>
        <w:rPr>
          <w:rFonts w:ascii="Times New Roman" w:hAnsi="Times New Roman"/>
          <w:b/>
          <w:i w:val="0"/>
          <w:sz w:val="21"/>
        </w:rPr>
        <w:t>two</w:t>
      </w:r>
      <w:r>
        <w:rPr>
          <w:rFonts w:ascii="Times New Roman" w:hAnsi="Times New Roman"/>
          <w:b w:val="0"/>
          <w:i w:val="0"/>
          <w:sz w:val="21"/>
        </w:rPr>
        <w:t xml:space="preserve"> worker-count points on differently-provisioned VMs, not a fitted law; it is a hypothesis for the follow-up in §7, and the honest present claim is bounded to 4–8 cores.</w:t>
      </w:r>
    </w:p>
    <w:p>
      <w:pPr>
        <w:pStyle w:val="Heading2"/>
      </w:pPr>
      <w:r>
        <w:rPr>
          <w:rFonts w:ascii="Times New Roman" w:hAnsi="Times New Roman"/>
          <w:b/>
          <w:i w:val="0"/>
          <w:color w:val="000000"/>
          <w:sz w:val="26"/>
        </w:rPr>
        <w:t>5.3 Result 3 — Overhead rigidity and the percentile-dependent inversion</w:t>
      </w:r>
    </w:p>
    <w:p>
      <w:pPr>
        <w:jc w:val="both"/>
      </w:pPr>
      <w:r>
        <w:rPr>
          <w:rFonts w:ascii="Times New Roman" w:hAnsi="Times New Roman"/>
          <w:b w:val="0"/>
          <w:i w:val="0"/>
          <w:sz w:val="21"/>
        </w:rPr>
        <w:t xml:space="preserve">Overhead is usually quoted as one number. It is not one number: how much of it reaches a given percentile depends on the axis. Define the </w:t>
      </w:r>
      <w:r>
        <w:rPr>
          <w:rFonts w:ascii="Times New Roman" w:hAnsi="Times New Roman"/>
          <w:b/>
          <w:i w:val="0"/>
          <w:sz w:val="21"/>
        </w:rPr>
        <w:t>tail-concentration index</w:t>
      </w:r>
      <w:r>
        <w:rPr>
          <w:rFonts w:ascii="Times New Roman" w:hAnsi="Times New Roman"/>
          <w:b w:val="0"/>
          <w:i w:val="0"/>
          <w:sz w:val="21"/>
        </w:rPr>
        <w:t xml:space="preserve"> as a strategy's p99 cost divided by its p50 cost — how much of the median-level cost survives into the tail.</w:t>
      </w:r>
    </w:p>
    <w:p>
      <w:pPr>
        <w:keepNext/>
        <w:spacing w:before="160" w:after="40"/>
        <w:jc w:val="center"/>
      </w:pPr>
      <w:r>
        <w:drawing>
          <wp:inline xmlns:a="http://schemas.openxmlformats.org/drawingml/2006/main" xmlns:pic="http://schemas.openxmlformats.org/drawingml/2006/picture">
            <wp:extent cx="5943600" cy="2949595"/>
            <wp:docPr id="3" name="Picture 3"/>
            <wp:cNvGraphicFramePr>
              <a:graphicFrameLocks noChangeAspect="1"/>
            </wp:cNvGraphicFramePr>
            <a:graphic>
              <a:graphicData uri="http://schemas.openxmlformats.org/drawingml/2006/picture">
                <pic:pic>
                  <pic:nvPicPr>
                    <pic:cNvPr id="0" name="axes_fig3_rigidity.png"/>
                    <pic:cNvPicPr/>
                  </pic:nvPicPr>
                  <pic:blipFill>
                    <a:blip r:embed="rId12"/>
                    <a:stretch>
                      <a:fillRect/>
                    </a:stretch>
                  </pic:blipFill>
                  <pic:spPr>
                    <a:xfrm>
                      <a:off x="0" y="0"/>
                      <a:ext cx="5943600" cy="2949595"/>
                    </a:xfrm>
                    <a:prstGeom prst="rect"/>
                  </pic:spPr>
                </pic:pic>
              </a:graphicData>
            </a:graphic>
          </wp:inline>
        </w:drawing>
      </w:r>
    </w:p>
    <w:p>
      <w:pPr>
        <w:jc w:val="both"/>
      </w:pPr>
      <w:r>
        <w:rPr>
          <w:rFonts w:ascii="Times New Roman" w:hAnsi="Times New Roman"/>
          <w:b/>
          <w:i w:val="0"/>
          <w:sz w:val="21"/>
        </w:rPr>
        <w:t>Figure 3.</w:t>
      </w:r>
      <w:r>
        <w:rPr>
          <w:rFonts w:ascii="Times New Roman" w:hAnsi="Times New Roman"/>
          <w:b w:val="0"/>
          <w:i w:val="0"/>
          <w:sz w:val="21"/>
        </w:rPr>
        <w:t xml:space="preserve"> Each strategy's cost at the median and at p99. Short dumbbells (high index) indicate cost that persists into the tail.</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496"/>
            <w:shd w:val="clear" w:color="auto" w:fill="E8E8E8"/>
          </w:tcPr>
          <w:p>
            <w:pPr>
              <w:spacing w:after="20" w:before="20"/>
              <w:jc w:val="left"/>
            </w:pPr>
            <w:r>
              <w:rPr>
                <w:rFonts w:ascii="Times New Roman" w:hAnsi="Times New Roman"/>
                <w:b/>
                <w:i w:val="0"/>
                <w:sz w:val="17"/>
              </w:rPr>
              <w:t>Strategy</w:t>
            </w:r>
          </w:p>
        </w:tc>
        <w:tc>
          <w:tcPr>
            <w:tcW w:type="dxa" w:w="1664"/>
            <w:shd w:val="clear" w:color="auto" w:fill="E8E8E8"/>
          </w:tcPr>
          <w:p>
            <w:pPr>
              <w:spacing w:after="20" w:before="20"/>
              <w:jc w:val="right"/>
            </w:pPr>
            <w:r>
              <w:rPr>
                <w:rFonts w:ascii="Times New Roman" w:hAnsi="Times New Roman"/>
                <w:b/>
                <w:i w:val="0"/>
                <w:sz w:val="17"/>
              </w:rPr>
              <w:t>p50 cost</w:t>
            </w:r>
          </w:p>
        </w:tc>
        <w:tc>
          <w:tcPr>
            <w:tcW w:type="dxa" w:w="1664"/>
            <w:shd w:val="clear" w:color="auto" w:fill="E8E8E8"/>
          </w:tcPr>
          <w:p>
            <w:pPr>
              <w:spacing w:after="20" w:before="20"/>
              <w:jc w:val="right"/>
            </w:pPr>
            <w:r>
              <w:rPr>
                <w:rFonts w:ascii="Times New Roman" w:hAnsi="Times New Roman"/>
                <w:b/>
                <w:i w:val="0"/>
                <w:sz w:val="17"/>
              </w:rPr>
              <w:t>p99 cost</w:t>
            </w:r>
          </w:p>
        </w:tc>
        <w:tc>
          <w:tcPr>
            <w:tcW w:type="dxa" w:w="1040"/>
            <w:shd w:val="clear" w:color="auto" w:fill="E8E8E8"/>
          </w:tcPr>
          <w:p>
            <w:pPr>
              <w:spacing w:after="20" w:before="20"/>
              <w:jc w:val="right"/>
            </w:pPr>
            <w:r>
              <w:rPr>
                <w:rFonts w:ascii="Times New Roman" w:hAnsi="Times New Roman"/>
                <w:b/>
                <w:i w:val="0"/>
                <w:sz w:val="17"/>
              </w:rPr>
              <w:t>Index</w:t>
            </w:r>
          </w:p>
        </w:tc>
        <w:tc>
          <w:tcPr>
            <w:tcW w:type="dxa" w:w="2496"/>
            <w:shd w:val="clear" w:color="auto" w:fill="E8E8E8"/>
          </w:tcPr>
          <w:p>
            <w:pPr>
              <w:spacing w:after="20" w:before="20"/>
              <w:jc w:val="left"/>
            </w:pPr>
            <w:r>
              <w:rPr>
                <w:rFonts w:ascii="Times New Roman" w:hAnsi="Times New Roman"/>
                <w:b/>
                <w:i w:val="0"/>
                <w:sz w:val="17"/>
              </w:rPr>
              <w:t>95% CI</w:t>
            </w:r>
          </w:p>
        </w:tc>
      </w:tr>
      <w:tr>
        <w:tc>
          <w:tcPr>
            <w:tcW w:type="dxa" w:w="2496"/>
          </w:tcPr>
          <w:p>
            <w:pPr>
              <w:spacing w:after="20" w:before="20"/>
              <w:jc w:val="left"/>
            </w:pPr>
            <w:r>
              <w:rPr>
                <w:rFonts w:ascii="Times New Roman" w:hAnsi="Times New Roman"/>
                <w:b w:val="0"/>
                <w:i w:val="0"/>
                <w:sz w:val="17"/>
              </w:rPr>
              <w:t>Sharded-N</w:t>
            </w:r>
          </w:p>
        </w:tc>
        <w:tc>
          <w:tcPr>
            <w:tcW w:type="dxa" w:w="1664"/>
          </w:tcPr>
          <w:p>
            <w:pPr>
              <w:spacing w:after="20" w:before="20"/>
              <w:jc w:val="right"/>
            </w:pPr>
            <w:r>
              <w:rPr>
                <w:rFonts w:ascii="Times New Roman" w:hAnsi="Times New Roman"/>
                <w:b w:val="0"/>
                <w:i w:val="0"/>
                <w:sz w:val="17"/>
              </w:rPr>
              <w:t>2.19%</w:t>
            </w:r>
          </w:p>
        </w:tc>
        <w:tc>
          <w:tcPr>
            <w:tcW w:type="dxa" w:w="1664"/>
          </w:tcPr>
          <w:p>
            <w:pPr>
              <w:spacing w:after="20" w:before="20"/>
              <w:jc w:val="right"/>
            </w:pPr>
            <w:r>
              <w:rPr>
                <w:rFonts w:ascii="Times New Roman" w:hAnsi="Times New Roman"/>
                <w:b w:val="0"/>
                <w:i w:val="0"/>
                <w:sz w:val="17"/>
              </w:rPr>
              <w:t>0.83%</w:t>
            </w:r>
          </w:p>
        </w:tc>
        <w:tc>
          <w:tcPr>
            <w:tcW w:type="dxa" w:w="1040"/>
          </w:tcPr>
          <w:p>
            <w:pPr>
              <w:spacing w:after="20" w:before="20"/>
              <w:jc w:val="right"/>
            </w:pPr>
            <w:r>
              <w:rPr>
                <w:rFonts w:ascii="Times New Roman" w:hAnsi="Times New Roman"/>
                <w:b w:val="0"/>
                <w:i w:val="0"/>
                <w:sz w:val="17"/>
              </w:rPr>
              <w:t>0.38</w:t>
            </w:r>
          </w:p>
        </w:tc>
        <w:tc>
          <w:tcPr>
            <w:tcW w:type="dxa" w:w="2496"/>
          </w:tcPr>
          <w:p>
            <w:pPr>
              <w:spacing w:after="20" w:before="20"/>
              <w:jc w:val="left"/>
            </w:pPr>
            <w:r>
              <w:rPr>
                <w:rFonts w:ascii="Times New Roman" w:hAnsi="Times New Roman"/>
                <w:b w:val="0"/>
                <w:i w:val="0"/>
                <w:sz w:val="17"/>
              </w:rPr>
              <w:t>[0.28, 0.48]</w:t>
            </w:r>
          </w:p>
        </w:tc>
      </w:tr>
      <w:tr>
        <w:tc>
          <w:tcPr>
            <w:tcW w:type="dxa" w:w="2496"/>
          </w:tcPr>
          <w:p>
            <w:pPr>
              <w:spacing w:after="20" w:before="20"/>
              <w:jc w:val="left"/>
            </w:pPr>
            <w:r>
              <w:rPr>
                <w:rFonts w:ascii="Times New Roman" w:hAnsi="Times New Roman"/>
                <w:b w:val="0"/>
                <w:i w:val="0"/>
                <w:sz w:val="17"/>
              </w:rPr>
              <w:t>GlobalMutex</w:t>
            </w:r>
          </w:p>
        </w:tc>
        <w:tc>
          <w:tcPr>
            <w:tcW w:type="dxa" w:w="1664"/>
          </w:tcPr>
          <w:p>
            <w:pPr>
              <w:spacing w:after="20" w:before="20"/>
              <w:jc w:val="right"/>
            </w:pPr>
            <w:r>
              <w:rPr>
                <w:rFonts w:ascii="Times New Roman" w:hAnsi="Times New Roman"/>
                <w:b w:val="0"/>
                <w:i w:val="0"/>
                <w:sz w:val="17"/>
              </w:rPr>
              <w:t>1.79%</w:t>
            </w:r>
          </w:p>
        </w:tc>
        <w:tc>
          <w:tcPr>
            <w:tcW w:type="dxa" w:w="1664"/>
          </w:tcPr>
          <w:p>
            <w:pPr>
              <w:spacing w:after="20" w:before="20"/>
              <w:jc w:val="right"/>
            </w:pPr>
            <w:r>
              <w:rPr>
                <w:rFonts w:ascii="Times New Roman" w:hAnsi="Times New Roman"/>
                <w:b w:val="0"/>
                <w:i w:val="0"/>
                <w:sz w:val="17"/>
              </w:rPr>
              <w:t>0.78%</w:t>
            </w:r>
          </w:p>
        </w:tc>
        <w:tc>
          <w:tcPr>
            <w:tcW w:type="dxa" w:w="1040"/>
          </w:tcPr>
          <w:p>
            <w:pPr>
              <w:spacing w:after="20" w:before="20"/>
              <w:jc w:val="right"/>
            </w:pPr>
            <w:r>
              <w:rPr>
                <w:rFonts w:ascii="Times New Roman" w:hAnsi="Times New Roman"/>
                <w:b w:val="0"/>
                <w:i w:val="0"/>
                <w:sz w:val="17"/>
              </w:rPr>
              <w:t>0.43</w:t>
            </w:r>
          </w:p>
        </w:tc>
        <w:tc>
          <w:tcPr>
            <w:tcW w:type="dxa" w:w="2496"/>
          </w:tcPr>
          <w:p>
            <w:pPr>
              <w:spacing w:after="20" w:before="20"/>
              <w:jc w:val="left"/>
            </w:pPr>
            <w:r>
              <w:rPr>
                <w:rFonts w:ascii="Times New Roman" w:hAnsi="Times New Roman"/>
                <w:b w:val="0"/>
                <w:i w:val="0"/>
                <w:sz w:val="17"/>
              </w:rPr>
              <w:t>[0.30, 0.55]</w:t>
            </w:r>
          </w:p>
        </w:tc>
      </w:tr>
      <w:tr>
        <w:tc>
          <w:tcPr>
            <w:tcW w:type="dxa" w:w="2496"/>
          </w:tcPr>
          <w:p>
            <w:pPr>
              <w:spacing w:after="20" w:before="20"/>
              <w:jc w:val="left"/>
            </w:pPr>
            <w:r>
              <w:rPr>
                <w:rFonts w:ascii="Times New Roman" w:hAnsi="Times New Roman"/>
                <w:b w:val="0"/>
                <w:i w:val="0"/>
                <w:sz w:val="17"/>
              </w:rPr>
              <w:t>Sharded-2key</w:t>
            </w:r>
          </w:p>
        </w:tc>
        <w:tc>
          <w:tcPr>
            <w:tcW w:type="dxa" w:w="1664"/>
          </w:tcPr>
          <w:p>
            <w:pPr>
              <w:spacing w:after="20" w:before="20"/>
              <w:jc w:val="right"/>
            </w:pPr>
            <w:r>
              <w:rPr>
                <w:rFonts w:ascii="Times New Roman" w:hAnsi="Times New Roman"/>
                <w:b w:val="0"/>
                <w:i w:val="0"/>
                <w:sz w:val="17"/>
              </w:rPr>
              <w:t>1.13%</w:t>
            </w:r>
          </w:p>
        </w:tc>
        <w:tc>
          <w:tcPr>
            <w:tcW w:type="dxa" w:w="1664"/>
          </w:tcPr>
          <w:p>
            <w:pPr>
              <w:spacing w:after="20" w:before="20"/>
              <w:jc w:val="right"/>
            </w:pPr>
            <w:r>
              <w:rPr>
                <w:rFonts w:ascii="Times New Roman" w:hAnsi="Times New Roman"/>
                <w:b w:val="0"/>
                <w:i w:val="0"/>
                <w:sz w:val="17"/>
              </w:rPr>
              <w:t>0.54%</w:t>
            </w:r>
          </w:p>
        </w:tc>
        <w:tc>
          <w:tcPr>
            <w:tcW w:type="dxa" w:w="1040"/>
          </w:tcPr>
          <w:p>
            <w:pPr>
              <w:spacing w:after="20" w:before="20"/>
              <w:jc w:val="right"/>
            </w:pPr>
            <w:r>
              <w:rPr>
                <w:rFonts w:ascii="Times New Roman" w:hAnsi="Times New Roman"/>
                <w:b w:val="0"/>
                <w:i w:val="0"/>
                <w:sz w:val="17"/>
              </w:rPr>
              <w:t>0.49</w:t>
            </w:r>
          </w:p>
        </w:tc>
        <w:tc>
          <w:tcPr>
            <w:tcW w:type="dxa" w:w="2496"/>
          </w:tcPr>
          <w:p>
            <w:pPr>
              <w:spacing w:after="20" w:before="20"/>
              <w:jc w:val="left"/>
            </w:pPr>
            <w:r>
              <w:rPr>
                <w:rFonts w:ascii="Times New Roman" w:hAnsi="Times New Roman"/>
                <w:b w:val="0"/>
                <w:i w:val="0"/>
                <w:sz w:val="17"/>
              </w:rPr>
              <w:t>[0.27, 0.71]</w:t>
            </w:r>
          </w:p>
        </w:tc>
      </w:tr>
      <w:tr>
        <w:tc>
          <w:tcPr>
            <w:tcW w:type="dxa" w:w="2496"/>
          </w:tcPr>
          <w:p>
            <w:pPr>
              <w:spacing w:after="20" w:before="20"/>
              <w:jc w:val="left"/>
            </w:pPr>
            <w:r>
              <w:rPr>
                <w:rFonts w:ascii="Times New Roman" w:hAnsi="Times New Roman"/>
                <w:b w:val="0"/>
                <w:i w:val="0"/>
                <w:sz w:val="17"/>
              </w:rPr>
              <w:t>ThreadLocal</w:t>
            </w:r>
          </w:p>
        </w:tc>
        <w:tc>
          <w:tcPr>
            <w:tcW w:type="dxa" w:w="1664"/>
          </w:tcPr>
          <w:p>
            <w:pPr>
              <w:spacing w:after="20" w:before="20"/>
              <w:jc w:val="right"/>
            </w:pPr>
            <w:r>
              <w:rPr>
                <w:rFonts w:ascii="Times New Roman" w:hAnsi="Times New Roman"/>
                <w:b w:val="0"/>
                <w:i w:val="0"/>
                <w:sz w:val="17"/>
              </w:rPr>
              <w:t>0.72%</w:t>
            </w:r>
          </w:p>
        </w:tc>
        <w:tc>
          <w:tcPr>
            <w:tcW w:type="dxa" w:w="1664"/>
          </w:tcPr>
          <w:p>
            <w:pPr>
              <w:spacing w:after="20" w:before="20"/>
              <w:jc w:val="right"/>
            </w:pPr>
            <w:r>
              <w:rPr>
                <w:rFonts w:ascii="Times New Roman" w:hAnsi="Times New Roman"/>
                <w:b w:val="0"/>
                <w:i w:val="0"/>
                <w:sz w:val="17"/>
              </w:rPr>
              <w:t>0.43%</w:t>
            </w:r>
          </w:p>
        </w:tc>
        <w:tc>
          <w:tcPr>
            <w:tcW w:type="dxa" w:w="1040"/>
          </w:tcPr>
          <w:p>
            <w:pPr>
              <w:spacing w:after="20" w:before="20"/>
              <w:jc w:val="right"/>
            </w:pPr>
            <w:r>
              <w:rPr>
                <w:rFonts w:ascii="Times New Roman" w:hAnsi="Times New Roman"/>
                <w:b w:val="0"/>
                <w:i w:val="0"/>
                <w:sz w:val="17"/>
              </w:rPr>
              <w:t>0.58</w:t>
            </w:r>
          </w:p>
        </w:tc>
        <w:tc>
          <w:tcPr>
            <w:tcW w:type="dxa" w:w="2496"/>
          </w:tcPr>
          <w:p>
            <w:pPr>
              <w:spacing w:after="20" w:before="20"/>
              <w:jc w:val="left"/>
            </w:pPr>
            <w:r>
              <w:rPr>
                <w:rFonts w:ascii="Times New Roman" w:hAnsi="Times New Roman"/>
                <w:b w:val="0"/>
                <w:i w:val="0"/>
                <w:sz w:val="17"/>
              </w:rPr>
              <w:t>[0.36, 0.81]</w:t>
            </w:r>
          </w:p>
        </w:tc>
      </w:tr>
      <w:tr>
        <w:tc>
          <w:tcPr>
            <w:tcW w:type="dxa" w:w="2496"/>
          </w:tcPr>
          <w:p>
            <w:pPr>
              <w:spacing w:after="20" w:before="20"/>
              <w:jc w:val="left"/>
            </w:pPr>
            <w:r>
              <w:rPr>
                <w:rFonts w:ascii="Times New Roman" w:hAnsi="Times New Roman"/>
                <w:b/>
                <w:i w:val="0"/>
                <w:sz w:val="17"/>
              </w:rPr>
              <w:t>HdrHistogram</w:t>
            </w:r>
          </w:p>
        </w:tc>
        <w:tc>
          <w:tcPr>
            <w:tcW w:type="dxa" w:w="1664"/>
          </w:tcPr>
          <w:p>
            <w:pPr>
              <w:spacing w:after="20" w:before="20"/>
              <w:jc w:val="right"/>
            </w:pPr>
            <w:r>
              <w:rPr>
                <w:rFonts w:ascii="Times New Roman" w:hAnsi="Times New Roman"/>
                <w:b w:val="0"/>
                <w:i w:val="0"/>
                <w:sz w:val="17"/>
              </w:rPr>
              <w:t>1.66%</w:t>
            </w:r>
          </w:p>
        </w:tc>
        <w:tc>
          <w:tcPr>
            <w:tcW w:type="dxa" w:w="1664"/>
          </w:tcPr>
          <w:p>
            <w:pPr>
              <w:spacing w:after="20" w:before="20"/>
              <w:jc w:val="right"/>
            </w:pPr>
            <w:r>
              <w:rPr>
                <w:rFonts w:ascii="Times New Roman" w:hAnsi="Times New Roman"/>
                <w:b w:val="0"/>
                <w:i w:val="0"/>
                <w:sz w:val="17"/>
              </w:rPr>
              <w:t>1.37%</w:t>
            </w:r>
          </w:p>
        </w:tc>
        <w:tc>
          <w:tcPr>
            <w:tcW w:type="dxa" w:w="1040"/>
          </w:tcPr>
          <w:p>
            <w:pPr>
              <w:spacing w:after="20" w:before="20"/>
              <w:jc w:val="right"/>
            </w:pPr>
            <w:r>
              <w:rPr>
                <w:rFonts w:ascii="Times New Roman" w:hAnsi="Times New Roman"/>
                <w:b/>
                <w:i w:val="0"/>
                <w:sz w:val="17"/>
              </w:rPr>
              <w:t>0.82</w:t>
            </w:r>
          </w:p>
        </w:tc>
        <w:tc>
          <w:tcPr>
            <w:tcW w:type="dxa" w:w="2496"/>
          </w:tcPr>
          <w:p>
            <w:pPr>
              <w:spacing w:after="20" w:before="20"/>
              <w:jc w:val="left"/>
            </w:pPr>
            <w:r>
              <w:rPr>
                <w:rFonts w:ascii="Times New Roman" w:hAnsi="Times New Roman"/>
                <w:b w:val="0"/>
                <w:i w:val="0"/>
                <w:sz w:val="17"/>
              </w:rPr>
              <w:t>[0.68, 0.96]</w:t>
            </w:r>
          </w:p>
        </w:tc>
      </w:tr>
    </w:tbl>
    <w:p>
      <w:pPr>
        <w:spacing w:after="40"/>
      </w:pPr>
    </w:p>
    <w:p>
      <w:pPr>
        <w:jc w:val="both"/>
      </w:pPr>
      <w:r>
        <w:rPr>
          <w:rFonts w:ascii="Times New Roman" w:hAnsi="Times New Roman"/>
          <w:b w:val="0"/>
          <w:i w:val="0"/>
          <w:sz w:val="21"/>
        </w:rPr>
        <w:t xml:space="preserve">Four of five strategies retain only 38–58% of their median cost at p99: their overhead is </w:t>
      </w:r>
      <w:r>
        <w:rPr>
          <w:rFonts w:ascii="Times New Roman" w:hAnsi="Times New Roman"/>
          <w:b/>
          <w:i w:val="0"/>
          <w:sz w:val="21"/>
        </w:rPr>
        <w:t>elastic</w:t>
      </w:r>
      <w:r>
        <w:rPr>
          <w:rFonts w:ascii="Times New Roman" w:hAnsi="Times New Roman"/>
          <w:b w:val="0"/>
          <w:i w:val="0"/>
          <w:sz w:val="21"/>
        </w:rPr>
        <w:t xml:space="preserve">, absorbed by queueing slack, because a few extra microseconds of counter work are negligible against a 79 ms queue. HdrHistogram retains 82% — its overhead is </w:t>
      </w:r>
      <w:r>
        <w:rPr>
          <w:rFonts w:ascii="Times New Roman" w:hAnsi="Times New Roman"/>
          <w:b/>
          <w:i w:val="0"/>
          <w:sz w:val="21"/>
        </w:rPr>
        <w:t>rigid</w:t>
      </w:r>
      <w:r>
        <w:rPr>
          <w:rFonts w:ascii="Times New Roman" w:hAnsi="Times New Roman"/>
          <w:b w:val="0"/>
          <w:i w:val="0"/>
          <w:sz w:val="21"/>
        </w:rPr>
        <w:t>.</w:t>
      </w:r>
    </w:p>
    <w:p>
      <w:pPr>
        <w:jc w:val="both"/>
      </w:pPr>
      <w:r>
        <w:rPr>
          <w:rFonts w:ascii="Times New Roman" w:hAnsi="Times New Roman"/>
          <w:b w:val="0"/>
          <w:i w:val="0"/>
          <w:sz w:val="21"/>
        </w:rPr>
        <w:t>The axis decomposition localizes the rigidity precisely. Pricing each axis under each budget metric:</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24"/>
            <w:shd w:val="clear" w:color="auto" w:fill="E8E8E8"/>
          </w:tcPr>
          <w:p>
            <w:pPr>
              <w:spacing w:after="20" w:before="20"/>
              <w:jc w:val="left"/>
            </w:pPr>
            <w:r>
              <w:rPr>
                <w:rFonts w:ascii="Times New Roman" w:hAnsi="Times New Roman"/>
                <w:b/>
                <w:i w:val="0"/>
                <w:sz w:val="17"/>
              </w:rPr>
              <w:t>Axis</w:t>
            </w:r>
          </w:p>
        </w:tc>
        <w:tc>
          <w:tcPr>
            <w:tcW w:type="dxa" w:w="2035"/>
            <w:shd w:val="clear" w:color="auto" w:fill="E8E8E8"/>
          </w:tcPr>
          <w:p>
            <w:pPr>
              <w:spacing w:after="20" w:before="20"/>
              <w:jc w:val="left"/>
            </w:pPr>
            <w:r>
              <w:rPr>
                <w:rFonts w:ascii="Times New Roman" w:hAnsi="Times New Roman"/>
                <w:b/>
                <w:i w:val="0"/>
                <w:sz w:val="17"/>
              </w:rPr>
              <w:t>Throughput</w:t>
            </w:r>
          </w:p>
        </w:tc>
        <w:tc>
          <w:tcPr>
            <w:tcW w:type="dxa" w:w="1017"/>
            <w:shd w:val="clear" w:color="auto" w:fill="E8E8E8"/>
          </w:tcPr>
          <w:p>
            <w:pPr>
              <w:spacing w:after="20" w:before="20"/>
              <w:jc w:val="left"/>
            </w:pPr>
            <w:r>
              <w:rPr>
                <w:rFonts w:ascii="Times New Roman" w:hAnsi="Times New Roman"/>
                <w:b/>
                <w:i w:val="0"/>
                <w:sz w:val="17"/>
              </w:rPr>
              <w:t>Mean</w:t>
            </w:r>
          </w:p>
        </w:tc>
        <w:tc>
          <w:tcPr>
            <w:tcW w:type="dxa" w:w="1017"/>
            <w:shd w:val="clear" w:color="auto" w:fill="E8E8E8"/>
          </w:tcPr>
          <w:p>
            <w:pPr>
              <w:spacing w:after="20" w:before="20"/>
              <w:jc w:val="left"/>
            </w:pPr>
            <w:r>
              <w:rPr>
                <w:rFonts w:ascii="Times New Roman" w:hAnsi="Times New Roman"/>
                <w:b/>
                <w:i w:val="0"/>
                <w:sz w:val="17"/>
              </w:rPr>
              <w:t>p50</w:t>
            </w:r>
          </w:p>
        </w:tc>
        <w:tc>
          <w:tcPr>
            <w:tcW w:type="dxa" w:w="3866"/>
            <w:shd w:val="clear" w:color="auto" w:fill="E8E8E8"/>
          </w:tcPr>
          <w:p>
            <w:pPr>
              <w:spacing w:after="20" w:before="20"/>
              <w:jc w:val="left"/>
            </w:pPr>
            <w:r>
              <w:rPr>
                <w:rFonts w:ascii="Times New Roman" w:hAnsi="Times New Roman"/>
                <w:b/>
                <w:i w:val="0"/>
                <w:sz w:val="17"/>
              </w:rPr>
              <w:t>p99</w:t>
            </w:r>
          </w:p>
        </w:tc>
      </w:tr>
      <w:tr>
        <w:tc>
          <w:tcPr>
            <w:tcW w:type="dxa" w:w="1424"/>
          </w:tcPr>
          <w:p>
            <w:pPr>
              <w:spacing w:after="20" w:before="20"/>
              <w:jc w:val="left"/>
            </w:pPr>
            <w:r>
              <w:rPr>
                <w:rFonts w:ascii="Times New Roman" w:hAnsi="Times New Roman"/>
                <w:b w:val="0"/>
                <w:i w:val="0"/>
                <w:sz w:val="17"/>
              </w:rPr>
              <w:t>SYNC</w:t>
            </w:r>
          </w:p>
        </w:tc>
        <w:tc>
          <w:tcPr>
            <w:tcW w:type="dxa" w:w="2035"/>
          </w:tcPr>
          <w:p>
            <w:pPr>
              <w:spacing w:after="20" w:before="20"/>
              <w:jc w:val="left"/>
            </w:pPr>
            <w:r>
              <w:rPr>
                <w:rFonts w:ascii="Times New Roman" w:hAnsi="Times New Roman"/>
                <w:b w:val="0"/>
                <w:i w:val="0"/>
                <w:sz w:val="17"/>
              </w:rPr>
              <w:t>+0.52</w:t>
            </w:r>
          </w:p>
        </w:tc>
        <w:tc>
          <w:tcPr>
            <w:tcW w:type="dxa" w:w="1017"/>
          </w:tcPr>
          <w:p>
            <w:pPr>
              <w:spacing w:after="20" w:before="20"/>
              <w:jc w:val="left"/>
            </w:pPr>
            <w:r>
              <w:rPr>
                <w:rFonts w:ascii="Times New Roman" w:hAnsi="Times New Roman"/>
                <w:b w:val="0"/>
                <w:i w:val="0"/>
                <w:sz w:val="17"/>
              </w:rPr>
              <w:t>+0.55</w:t>
            </w:r>
          </w:p>
        </w:tc>
        <w:tc>
          <w:tcPr>
            <w:tcW w:type="dxa" w:w="1017"/>
          </w:tcPr>
          <w:p>
            <w:pPr>
              <w:spacing w:after="20" w:before="20"/>
              <w:jc w:val="left"/>
            </w:pPr>
            <w:r>
              <w:rPr>
                <w:rFonts w:ascii="Times New Roman" w:hAnsi="Times New Roman"/>
                <w:b w:val="0"/>
                <w:i w:val="0"/>
                <w:sz w:val="17"/>
              </w:rPr>
              <w:t>+0.67</w:t>
            </w:r>
          </w:p>
        </w:tc>
        <w:tc>
          <w:tcPr>
            <w:tcW w:type="dxa" w:w="3866"/>
          </w:tcPr>
          <w:p>
            <w:pPr>
              <w:spacing w:after="20" w:before="20"/>
              <w:jc w:val="left"/>
            </w:pPr>
            <w:r>
              <w:rPr>
                <w:rFonts w:ascii="Times New Roman" w:hAnsi="Times New Roman"/>
                <w:b w:val="0"/>
                <w:i w:val="0"/>
                <w:sz w:val="17"/>
              </w:rPr>
              <w:t>+0.24 [−0.01, 0.49]</w:t>
            </w:r>
          </w:p>
        </w:tc>
      </w:tr>
      <w:tr>
        <w:tc>
          <w:tcPr>
            <w:tcW w:type="dxa" w:w="1424"/>
          </w:tcPr>
          <w:p>
            <w:pPr>
              <w:spacing w:after="20" w:before="20"/>
              <w:jc w:val="left"/>
            </w:pPr>
            <w:r>
              <w:rPr>
                <w:rFonts w:ascii="Times New Roman" w:hAnsi="Times New Roman"/>
                <w:b w:val="0"/>
                <w:i w:val="0"/>
                <w:sz w:val="17"/>
              </w:rPr>
              <w:t>CARD</w:t>
            </w:r>
          </w:p>
        </w:tc>
        <w:tc>
          <w:tcPr>
            <w:tcW w:type="dxa" w:w="2035"/>
          </w:tcPr>
          <w:p>
            <w:pPr>
              <w:spacing w:after="20" w:before="20"/>
              <w:jc w:val="left"/>
            </w:pPr>
            <w:r>
              <w:rPr>
                <w:rFonts w:ascii="Times New Roman" w:hAnsi="Times New Roman"/>
                <w:b w:val="0"/>
                <w:i w:val="0"/>
                <w:sz w:val="17"/>
              </w:rPr>
              <w:t>+0.87</w:t>
            </w:r>
          </w:p>
        </w:tc>
        <w:tc>
          <w:tcPr>
            <w:tcW w:type="dxa" w:w="1017"/>
          </w:tcPr>
          <w:p>
            <w:pPr>
              <w:spacing w:after="20" w:before="20"/>
              <w:jc w:val="left"/>
            </w:pPr>
            <w:r>
              <w:rPr>
                <w:rFonts w:ascii="Times New Roman" w:hAnsi="Times New Roman"/>
                <w:b w:val="0"/>
                <w:i w:val="0"/>
                <w:sz w:val="17"/>
              </w:rPr>
              <w:t>+0.91</w:t>
            </w:r>
          </w:p>
        </w:tc>
        <w:tc>
          <w:tcPr>
            <w:tcW w:type="dxa" w:w="1017"/>
          </w:tcPr>
          <w:p>
            <w:pPr>
              <w:spacing w:after="20" w:before="20"/>
              <w:jc w:val="left"/>
            </w:pPr>
            <w:r>
              <w:rPr>
                <w:rFonts w:ascii="Times New Roman" w:hAnsi="Times New Roman"/>
                <w:b w:val="0"/>
                <w:i w:val="0"/>
                <w:sz w:val="17"/>
              </w:rPr>
              <w:t>+1.06</w:t>
            </w:r>
          </w:p>
        </w:tc>
        <w:tc>
          <w:tcPr>
            <w:tcW w:type="dxa" w:w="3866"/>
          </w:tcPr>
          <w:p>
            <w:pPr>
              <w:spacing w:after="20" w:before="20"/>
              <w:jc w:val="left"/>
            </w:pPr>
            <w:r>
              <w:rPr>
                <w:rFonts w:ascii="Times New Roman" w:hAnsi="Times New Roman"/>
                <w:b w:val="0"/>
                <w:i w:val="0"/>
                <w:sz w:val="17"/>
              </w:rPr>
              <w:t>+0.29 [0.05, 0.53]</w:t>
            </w:r>
          </w:p>
        </w:tc>
      </w:tr>
      <w:tr>
        <w:tc>
          <w:tcPr>
            <w:tcW w:type="dxa" w:w="1424"/>
          </w:tcPr>
          <w:p>
            <w:pPr>
              <w:spacing w:after="20" w:before="20"/>
              <w:jc w:val="left"/>
            </w:pPr>
            <w:r>
              <w:rPr>
                <w:rFonts w:ascii="Times New Roman" w:hAnsi="Times New Roman"/>
                <w:b w:val="0"/>
                <w:i w:val="0"/>
                <w:sz w:val="17"/>
              </w:rPr>
              <w:t>DEFER</w:t>
            </w:r>
          </w:p>
        </w:tc>
        <w:tc>
          <w:tcPr>
            <w:tcW w:type="dxa" w:w="2035"/>
          </w:tcPr>
          <w:p>
            <w:pPr>
              <w:spacing w:after="20" w:before="20"/>
              <w:jc w:val="left"/>
            </w:pPr>
            <w:r>
              <w:rPr>
                <w:rFonts w:ascii="Times New Roman" w:hAnsi="Times New Roman"/>
                <w:b w:val="0"/>
                <w:i w:val="0"/>
                <w:sz w:val="17"/>
              </w:rPr>
              <w:t>+0.31</w:t>
            </w:r>
          </w:p>
        </w:tc>
        <w:tc>
          <w:tcPr>
            <w:tcW w:type="dxa" w:w="1017"/>
          </w:tcPr>
          <w:p>
            <w:pPr>
              <w:spacing w:after="20" w:before="20"/>
              <w:jc w:val="left"/>
            </w:pPr>
            <w:r>
              <w:rPr>
                <w:rFonts w:ascii="Times New Roman" w:hAnsi="Times New Roman"/>
                <w:b w:val="0"/>
                <w:i w:val="0"/>
                <w:sz w:val="17"/>
              </w:rPr>
              <w:t>+0.32</w:t>
            </w:r>
          </w:p>
        </w:tc>
        <w:tc>
          <w:tcPr>
            <w:tcW w:type="dxa" w:w="1017"/>
          </w:tcPr>
          <w:p>
            <w:pPr>
              <w:spacing w:after="20" w:before="20"/>
              <w:jc w:val="left"/>
            </w:pPr>
            <w:r>
              <w:rPr>
                <w:rFonts w:ascii="Times New Roman" w:hAnsi="Times New Roman"/>
                <w:b w:val="0"/>
                <w:i w:val="0"/>
                <w:sz w:val="17"/>
              </w:rPr>
              <w:t>+0.41</w:t>
            </w:r>
          </w:p>
        </w:tc>
        <w:tc>
          <w:tcPr>
            <w:tcW w:type="dxa" w:w="3866"/>
          </w:tcPr>
          <w:p>
            <w:pPr>
              <w:spacing w:after="20" w:before="20"/>
              <w:jc w:val="left"/>
            </w:pPr>
            <w:r>
              <w:rPr>
                <w:rFonts w:ascii="Times New Roman" w:hAnsi="Times New Roman"/>
                <w:b w:val="0"/>
                <w:i w:val="0"/>
                <w:sz w:val="17"/>
              </w:rPr>
              <w:t>+0.11 [−0.11, 0.33]</w:t>
            </w:r>
          </w:p>
        </w:tc>
      </w:tr>
      <w:tr>
        <w:tc>
          <w:tcPr>
            <w:tcW w:type="dxa" w:w="1424"/>
          </w:tcPr>
          <w:p>
            <w:pPr>
              <w:spacing w:after="20" w:before="20"/>
              <w:jc w:val="left"/>
            </w:pPr>
            <w:r>
              <w:rPr>
                <w:rFonts w:ascii="Times New Roman" w:hAnsi="Times New Roman"/>
                <w:b/>
                <w:i w:val="0"/>
                <w:sz w:val="17"/>
              </w:rPr>
              <w:t>PAYLOAD</w:t>
            </w:r>
          </w:p>
        </w:tc>
        <w:tc>
          <w:tcPr>
            <w:tcW w:type="dxa" w:w="2035"/>
          </w:tcPr>
          <w:p>
            <w:pPr>
              <w:spacing w:after="20" w:before="20"/>
              <w:jc w:val="left"/>
            </w:pPr>
            <w:r>
              <w:rPr>
                <w:rFonts w:ascii="Times New Roman" w:hAnsi="Times New Roman"/>
                <w:b/>
                <w:i w:val="0"/>
                <w:sz w:val="17"/>
              </w:rPr>
              <w:t>+0.89</w:t>
            </w:r>
          </w:p>
        </w:tc>
        <w:tc>
          <w:tcPr>
            <w:tcW w:type="dxa" w:w="1017"/>
          </w:tcPr>
          <w:p>
            <w:pPr>
              <w:spacing w:after="20" w:before="20"/>
              <w:jc w:val="left"/>
            </w:pPr>
            <w:r>
              <w:rPr>
                <w:rFonts w:ascii="Times New Roman" w:hAnsi="Times New Roman"/>
                <w:b/>
                <w:i w:val="0"/>
                <w:sz w:val="17"/>
              </w:rPr>
              <w:t>+0.91</w:t>
            </w:r>
          </w:p>
        </w:tc>
        <w:tc>
          <w:tcPr>
            <w:tcW w:type="dxa" w:w="1017"/>
          </w:tcPr>
          <w:p>
            <w:pPr>
              <w:spacing w:after="20" w:before="20"/>
              <w:jc w:val="left"/>
            </w:pPr>
            <w:r>
              <w:rPr>
                <w:rFonts w:ascii="Times New Roman" w:hAnsi="Times New Roman"/>
                <w:b/>
                <w:i w:val="0"/>
                <w:sz w:val="17"/>
              </w:rPr>
              <w:t>+0.94</w:t>
            </w:r>
          </w:p>
        </w:tc>
        <w:tc>
          <w:tcPr>
            <w:tcW w:type="dxa" w:w="3866"/>
          </w:tcPr>
          <w:p>
            <w:pPr>
              <w:spacing w:after="20" w:before="20"/>
              <w:jc w:val="left"/>
            </w:pPr>
            <w:r>
              <w:rPr>
                <w:rFonts w:ascii="Times New Roman" w:hAnsi="Times New Roman"/>
                <w:b/>
                <w:i w:val="0"/>
                <w:sz w:val="17"/>
              </w:rPr>
              <w:t>+0.94 [0.76, 1.12]</w:t>
            </w:r>
          </w:p>
        </w:tc>
      </w:tr>
    </w:tbl>
    <w:p>
      <w:pPr>
        <w:spacing w:after="40"/>
      </w:pPr>
    </w:p>
    <w:p>
      <w:pPr>
        <w:jc w:val="both"/>
      </w:pPr>
      <w:r>
        <w:rPr>
          <w:rFonts w:ascii="Times New Roman" w:hAnsi="Times New Roman"/>
          <w:b w:val="0"/>
          <w:i w:val="0"/>
          <w:sz w:val="21"/>
        </w:rPr>
        <w:t xml:space="preserve">SYNC, CARD and DEFER all shrink by roughly 60–75% from p50 to p99 — elastic. PAYLOAD is </w:t>
      </w:r>
      <w:r>
        <w:rPr>
          <w:rFonts w:ascii="Times New Roman" w:hAnsi="Times New Roman"/>
          <w:b/>
          <w:i w:val="0"/>
          <w:sz w:val="21"/>
        </w:rPr>
        <w:t>statistically flat across all four metrics</w:t>
      </w:r>
      <w:r>
        <w:rPr>
          <w:rFonts w:ascii="Times New Roman" w:hAnsi="Times New Roman"/>
          <w:b w:val="0"/>
          <w:i w:val="0"/>
          <w:sz w:val="21"/>
        </w:rPr>
        <w:t xml:space="preserve"> (0.89–0.94 pp) — rigid. The histogram is the only axis whose cost arrives undiminished at the tail.</w:t>
      </w:r>
    </w:p>
    <w:p>
      <w:pPr>
        <w:jc w:val="both"/>
      </w:pPr>
      <w:r>
        <w:rPr>
          <w:rFonts w:ascii="Times New Roman" w:hAnsi="Times New Roman"/>
          <w:b w:val="0"/>
          <w:i w:val="0"/>
          <w:sz w:val="21"/>
        </w:rPr>
        <w:t xml:space="preserve">We offer a mechanism, and label it interpretation rather than measurement: </w:t>
      </w:r>
      <w:r>
        <w:rPr>
          <w:rFonts w:ascii="Consolas" w:hAnsi="Consolas"/>
          <w:b w:val="0"/>
          <w:i w:val="0"/>
          <w:color w:val="8B1A1A"/>
          <w:sz w:val="17"/>
        </w:rPr>
        <w:t>hdr_histogram</w:t>
      </w:r>
      <w:r>
        <w:rPr>
          <w:rFonts w:ascii="Times New Roman" w:hAnsi="Times New Roman"/>
          <w:b w:val="0"/>
          <w:i w:val="0"/>
          <w:sz w:val="21"/>
        </w:rPr>
        <w:t xml:space="preserve"> accumulates into a thread-local histogram and periodically merges into a shared one under a global lock, and merging HDR histograms is an O(buckets) operation over thousands of buckets, orders of magnitude more expensive than merging a two-entry counter map (</w:t>
      </w:r>
      <w:r>
        <w:rPr>
          <w:rFonts w:ascii="Consolas" w:hAnsi="Consolas"/>
          <w:b w:val="0"/>
          <w:i w:val="0"/>
          <w:color w:val="8B1A1A"/>
          <w:sz w:val="17"/>
        </w:rPr>
        <w:t>thread_local</w:t>
      </w:r>
      <w:r>
        <w:rPr>
          <w:rFonts w:ascii="Times New Roman" w:hAnsi="Times New Roman"/>
          <w:b w:val="0"/>
          <w:i w:val="0"/>
          <w:sz w:val="21"/>
        </w:rPr>
        <w:t xml:space="preserve">'s flush). A per-operation cost is elastic because it competes with queueing; a periodic multi-millisecond stall is rigid because it </w:t>
      </w:r>
      <w:r>
        <w:rPr>
          <w:rFonts w:ascii="Times New Roman" w:hAnsi="Times New Roman"/>
          <w:b w:val="0"/>
          <w:i/>
          <w:sz w:val="21"/>
        </w:rPr>
        <w:t>creates</w:t>
      </w:r>
      <w:r>
        <w:rPr>
          <w:rFonts w:ascii="Times New Roman" w:hAnsi="Times New Roman"/>
          <w:b w:val="0"/>
          <w:i w:val="0"/>
          <w:sz w:val="21"/>
        </w:rPr>
        <w:t xml:space="preserve"> tail events. We did not instrument the merge directly, so this mechanism is consistent with the data, not established by it (§7).</w:t>
      </w:r>
    </w:p>
    <w:p>
      <w:pPr>
        <w:jc w:val="both"/>
      </w:pPr>
      <w:r>
        <w:rPr>
          <w:rFonts w:ascii="Times New Roman" w:hAnsi="Times New Roman"/>
          <w:b/>
          <w:i w:val="0"/>
          <w:sz w:val="21"/>
        </w:rPr>
        <w:t>The rank inversion.</w:t>
      </w:r>
      <w:r>
        <w:rPr>
          <w:rFonts w:ascii="Times New Roman" w:hAnsi="Times New Roman"/>
          <w:b w:val="0"/>
          <w:i w:val="0"/>
          <w:sz w:val="21"/>
        </w:rPr>
        <w:t xml:space="preserve"> This has a sharp consequence for evaluation practice. Consider the two comparisons involving HdrHistogram:</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68"/>
            <w:shd w:val="clear" w:color="auto" w:fill="E8E8E8"/>
          </w:tcPr>
          <w:p>
            <w:pPr>
              <w:spacing w:after="20" w:before="20"/>
              <w:jc w:val="left"/>
            </w:pPr>
            <w:r>
              <w:rPr>
                <w:rFonts w:ascii="Times New Roman" w:hAnsi="Times New Roman"/>
                <w:b/>
                <w:i w:val="0"/>
                <w:sz w:val="17"/>
              </w:rPr>
              <w:t>Comparison</w:t>
            </w:r>
          </w:p>
        </w:tc>
        <w:tc>
          <w:tcPr>
            <w:tcW w:type="dxa" w:w="2073"/>
            <w:shd w:val="clear" w:color="auto" w:fill="E8E8E8"/>
          </w:tcPr>
          <w:p>
            <w:pPr>
              <w:spacing w:after="20" w:before="20"/>
              <w:jc w:val="left"/>
            </w:pPr>
            <w:r>
              <w:rPr>
                <w:rFonts w:ascii="Times New Roman" w:hAnsi="Times New Roman"/>
                <w:b/>
                <w:i w:val="0"/>
                <w:sz w:val="17"/>
              </w:rPr>
              <w:t>Throughput</w:t>
            </w:r>
          </w:p>
        </w:tc>
        <w:tc>
          <w:tcPr>
            <w:tcW w:type="dxa" w:w="1885"/>
            <w:shd w:val="clear" w:color="auto" w:fill="E8E8E8"/>
          </w:tcPr>
          <w:p>
            <w:pPr>
              <w:spacing w:after="20" w:before="20"/>
              <w:jc w:val="left"/>
            </w:pPr>
            <w:r>
              <w:rPr>
                <w:rFonts w:ascii="Times New Roman" w:hAnsi="Times New Roman"/>
                <w:b/>
                <w:i w:val="0"/>
                <w:sz w:val="17"/>
              </w:rPr>
              <w:t>Mean</w:t>
            </w:r>
          </w:p>
        </w:tc>
        <w:tc>
          <w:tcPr>
            <w:tcW w:type="dxa" w:w="2199"/>
            <w:shd w:val="clear" w:color="auto" w:fill="E8E8E8"/>
          </w:tcPr>
          <w:p>
            <w:pPr>
              <w:spacing w:after="20" w:before="20"/>
              <w:jc w:val="left"/>
            </w:pPr>
            <w:r>
              <w:rPr>
                <w:rFonts w:ascii="Times New Roman" w:hAnsi="Times New Roman"/>
                <w:b/>
                <w:i w:val="0"/>
                <w:sz w:val="17"/>
              </w:rPr>
              <w:t>p50</w:t>
            </w:r>
          </w:p>
        </w:tc>
        <w:tc>
          <w:tcPr>
            <w:tcW w:type="dxa" w:w="2136"/>
            <w:shd w:val="clear" w:color="auto" w:fill="E8E8E8"/>
          </w:tcPr>
          <w:p>
            <w:pPr>
              <w:spacing w:after="20" w:before="20"/>
              <w:jc w:val="left"/>
            </w:pPr>
            <w:r>
              <w:rPr>
                <w:rFonts w:ascii="Times New Roman" w:hAnsi="Times New Roman"/>
                <w:b/>
                <w:i w:val="0"/>
                <w:sz w:val="17"/>
              </w:rPr>
              <w:t>p99</w:t>
            </w:r>
          </w:p>
        </w:tc>
      </w:tr>
      <w:tr>
        <w:tc>
          <w:tcPr>
            <w:tcW w:type="dxa" w:w="1068"/>
          </w:tcPr>
          <w:p>
            <w:pPr>
              <w:spacing w:after="20" w:before="20"/>
              <w:jc w:val="left"/>
            </w:pPr>
            <w:r>
              <w:rPr>
                <w:rFonts w:ascii="Times New Roman" w:hAnsi="Times New Roman"/>
                <w:b w:val="0"/>
                <w:i w:val="0"/>
                <w:sz w:val="17"/>
              </w:rPr>
              <w:t>Hdr − GlobalMutex</w:t>
            </w:r>
          </w:p>
        </w:tc>
        <w:tc>
          <w:tcPr>
            <w:tcW w:type="dxa" w:w="2073"/>
          </w:tcPr>
          <w:p>
            <w:pPr>
              <w:spacing w:after="20" w:before="20"/>
              <w:jc w:val="left"/>
            </w:pPr>
            <w:r>
              <w:rPr>
                <w:rFonts w:ascii="Times New Roman" w:hAnsi="Times New Roman"/>
                <w:b w:val="0"/>
                <w:i w:val="0"/>
                <w:sz w:val="17"/>
              </w:rPr>
              <w:t xml:space="preserve">+0.05 [−0.02, 0.13] 8/11 </w:t>
            </w:r>
            <w:r>
              <w:rPr>
                <w:rFonts w:ascii="Times New Roman" w:hAnsi="Times New Roman"/>
                <w:b/>
                <w:i w:val="0"/>
                <w:sz w:val="17"/>
              </w:rPr>
              <w:t>p = 0.23</w:t>
            </w:r>
          </w:p>
        </w:tc>
        <w:tc>
          <w:tcPr>
            <w:tcW w:type="dxa" w:w="1885"/>
          </w:tcPr>
          <w:p>
            <w:pPr>
              <w:spacing w:after="20" w:before="20"/>
              <w:jc w:val="left"/>
            </w:pPr>
            <w:r>
              <w:rPr>
                <w:rFonts w:ascii="Times New Roman" w:hAnsi="Times New Roman"/>
                <w:b w:val="0"/>
                <w:i w:val="0"/>
                <w:sz w:val="17"/>
              </w:rPr>
              <w:t xml:space="preserve">+0.04 [−0.03, 0.12] </w:t>
            </w:r>
            <w:r>
              <w:rPr>
                <w:rFonts w:ascii="Times New Roman" w:hAnsi="Times New Roman"/>
                <w:b/>
                <w:i w:val="0"/>
                <w:sz w:val="17"/>
              </w:rPr>
              <w:t>p = 0.23</w:t>
            </w:r>
          </w:p>
        </w:tc>
        <w:tc>
          <w:tcPr>
            <w:tcW w:type="dxa" w:w="2199"/>
          </w:tcPr>
          <w:p>
            <w:pPr>
              <w:spacing w:after="20" w:before="20"/>
              <w:jc w:val="left"/>
            </w:pPr>
            <w:r>
              <w:rPr>
                <w:rFonts w:ascii="Times New Roman" w:hAnsi="Times New Roman"/>
                <w:b/>
                <w:i w:val="0"/>
                <w:sz w:val="17"/>
              </w:rPr>
              <w:t>−0.14 [−0.19, −0.09] 0/11 p = 0.001</w:t>
            </w:r>
          </w:p>
        </w:tc>
        <w:tc>
          <w:tcPr>
            <w:tcW w:type="dxa" w:w="2136"/>
          </w:tcPr>
          <w:p>
            <w:pPr>
              <w:spacing w:after="20" w:before="20"/>
              <w:jc w:val="left"/>
            </w:pPr>
            <w:r>
              <w:rPr>
                <w:rFonts w:ascii="Times New Roman" w:hAnsi="Times New Roman"/>
                <w:b/>
                <w:i w:val="0"/>
                <w:sz w:val="17"/>
              </w:rPr>
              <w:t>+0.59 [0.37, 0.80] 11/11 p = 0.001</w:t>
            </w:r>
          </w:p>
        </w:tc>
      </w:tr>
      <w:tr>
        <w:tc>
          <w:tcPr>
            <w:tcW w:type="dxa" w:w="1068"/>
          </w:tcPr>
          <w:p>
            <w:pPr>
              <w:spacing w:after="20" w:before="20"/>
              <w:jc w:val="left"/>
            </w:pPr>
            <w:r>
              <w:rPr>
                <w:rFonts w:ascii="Times New Roman" w:hAnsi="Times New Roman"/>
                <w:b w:val="0"/>
                <w:i w:val="0"/>
                <w:sz w:val="17"/>
              </w:rPr>
              <w:t>Hdr − Sharded-N</w:t>
            </w:r>
          </w:p>
        </w:tc>
        <w:tc>
          <w:tcPr>
            <w:tcW w:type="dxa" w:w="2073"/>
          </w:tcPr>
          <w:p>
            <w:pPr>
              <w:spacing w:after="20" w:before="20"/>
              <w:jc w:val="left"/>
            </w:pPr>
            <w:r>
              <w:rPr>
                <w:rFonts w:ascii="Times New Roman" w:hAnsi="Times New Roman"/>
                <w:b w:val="0"/>
                <w:i w:val="0"/>
                <w:sz w:val="17"/>
              </w:rPr>
              <w:t>−0.29 [−0.42, −0.15] p = 0.012</w:t>
            </w:r>
          </w:p>
        </w:tc>
        <w:tc>
          <w:tcPr>
            <w:tcW w:type="dxa" w:w="1885"/>
          </w:tcPr>
          <w:p>
            <w:pPr>
              <w:spacing w:after="20" w:before="20"/>
              <w:jc w:val="left"/>
            </w:pPr>
            <w:r>
              <w:rPr>
                <w:rFonts w:ascii="Times New Roman" w:hAnsi="Times New Roman"/>
                <w:b w:val="0"/>
                <w:i w:val="0"/>
                <w:sz w:val="17"/>
              </w:rPr>
              <w:t>−0.31 [−0.46, −0.17] p = 0.012</w:t>
            </w:r>
          </w:p>
        </w:tc>
        <w:tc>
          <w:tcPr>
            <w:tcW w:type="dxa" w:w="2199"/>
          </w:tcPr>
          <w:p>
            <w:pPr>
              <w:spacing w:after="20" w:before="20"/>
              <w:jc w:val="left"/>
            </w:pPr>
            <w:r>
              <w:rPr>
                <w:rFonts w:ascii="Times New Roman" w:hAnsi="Times New Roman"/>
                <w:b w:val="0"/>
                <w:i w:val="0"/>
                <w:sz w:val="17"/>
              </w:rPr>
              <w:t>−0.53 [−0.70, −0.36] p = 0.001</w:t>
            </w:r>
          </w:p>
        </w:tc>
        <w:tc>
          <w:tcPr>
            <w:tcW w:type="dxa" w:w="2136"/>
          </w:tcPr>
          <w:p>
            <w:pPr>
              <w:spacing w:after="20" w:before="20"/>
              <w:jc w:val="left"/>
            </w:pPr>
            <w:r>
              <w:rPr>
                <w:rFonts w:ascii="Times New Roman" w:hAnsi="Times New Roman"/>
                <w:b/>
                <w:i w:val="0"/>
                <w:sz w:val="17"/>
              </w:rPr>
              <w:t>+0.54 [0.32, 0.75] 11/11 p = 0.001</w:t>
            </w:r>
          </w:p>
        </w:tc>
      </w:tr>
    </w:tbl>
    <w:p>
      <w:pPr>
        <w:spacing w:after="40"/>
      </w:pPr>
    </w:p>
    <w:p>
      <w:pPr>
        <w:jc w:val="both"/>
      </w:pPr>
      <w:r>
        <w:rPr>
          <w:rFonts w:ascii="Times New Roman" w:hAnsi="Times New Roman"/>
          <w:b w:val="0"/>
          <w:i w:val="0"/>
          <w:sz w:val="21"/>
        </w:rPr>
        <w:t xml:space="preserve">Under a throughput budget, HdrHistogram versus GlobalMutex is </w:t>
      </w:r>
      <w:r>
        <w:rPr>
          <w:rFonts w:ascii="Times New Roman" w:hAnsi="Times New Roman"/>
          <w:b/>
          <w:i w:val="0"/>
          <w:sz w:val="21"/>
        </w:rPr>
        <w:t>statistically unresolved</w:t>
      </w:r>
      <w:r>
        <w:rPr>
          <w:rFonts w:ascii="Times New Roman" w:hAnsi="Times New Roman"/>
          <w:b w:val="0"/>
          <w:i w:val="0"/>
          <w:sz w:val="21"/>
        </w:rPr>
        <w:t xml:space="preserve"> (p = 0.23) — and remains so under 11× replication; prior analysis of this dataset reported it as the one comparison that additional data failed to settle. The decomposition shows </w:t>
      </w:r>
      <w:r>
        <w:rPr>
          <w:rFonts w:ascii="Times New Roman" w:hAnsi="Times New Roman"/>
          <w:b w:val="0"/>
          <w:i/>
          <w:sz w:val="21"/>
        </w:rPr>
        <w:t>why</w:t>
      </w:r>
      <w:r>
        <w:rPr>
          <w:rFonts w:ascii="Times New Roman" w:hAnsi="Times New Roman"/>
          <w:b w:val="0"/>
          <w:i w:val="0"/>
          <w:sz w:val="21"/>
        </w:rPr>
        <w:t xml:space="preserve">: the comparison is not weak, it is </w:t>
      </w:r>
      <w:r>
        <w:rPr>
          <w:rFonts w:ascii="Times New Roman" w:hAnsi="Times New Roman"/>
          <w:b/>
          <w:i w:val="0"/>
          <w:sz w:val="21"/>
        </w:rPr>
        <w:t>sign-ambiguous</w:t>
      </w:r>
      <w:r>
        <w:rPr>
          <w:rFonts w:ascii="Times New Roman" w:hAnsi="Times New Roman"/>
          <w:b w:val="0"/>
          <w:i w:val="0"/>
          <w:sz w:val="21"/>
        </w:rPr>
        <w:t xml:space="preserve">. HdrHistogram is decisively </w:t>
      </w:r>
      <w:r>
        <w:rPr>
          <w:rFonts w:ascii="Times New Roman" w:hAnsi="Times New Roman"/>
          <w:b w:val="0"/>
          <w:i/>
          <w:sz w:val="21"/>
        </w:rPr>
        <w:t>cheaper</w:t>
      </w:r>
      <w:r>
        <w:rPr>
          <w:rFonts w:ascii="Times New Roman" w:hAnsi="Times New Roman"/>
          <w:b w:val="0"/>
          <w:i w:val="0"/>
          <w:sz w:val="21"/>
        </w:rPr>
        <w:t xml:space="preserve"> at the median (0 of 11 runs disagree, p = 0.001) and decisively </w:t>
      </w:r>
      <w:r>
        <w:rPr>
          <w:rFonts w:ascii="Times New Roman" w:hAnsi="Times New Roman"/>
          <w:b w:val="0"/>
          <w:i/>
          <w:sz w:val="21"/>
        </w:rPr>
        <w:t>costlier</w:t>
      </w:r>
      <w:r>
        <w:rPr>
          <w:rFonts w:ascii="Times New Roman" w:hAnsi="Times New Roman"/>
          <w:b w:val="0"/>
          <w:i w:val="0"/>
          <w:sz w:val="21"/>
        </w:rPr>
        <w:t xml:space="preserve"> at p99 (11 of 11, p = 0.001). Throughput, an aggregate sitting between them, nets the two opposing effects to approximately zero and reports "no difference."</w:t>
      </w:r>
    </w:p>
    <w:p>
      <w:pPr>
        <w:jc w:val="both"/>
      </w:pPr>
      <w:r>
        <w:rPr>
          <w:rFonts w:ascii="Times New Roman" w:hAnsi="Times New Roman"/>
          <w:b w:val="0"/>
          <w:i w:val="0"/>
          <w:sz w:val="21"/>
        </w:rPr>
        <w:t xml:space="preserve">A throughput-only evaluation does not merely lose power here. It returns a null result for a pair whose true relationship is a sign reversal — and the reversal is the operationally important fact, since a team choosing HdrHistogram for tail-latency </w:t>
      </w:r>
      <w:r>
        <w:rPr>
          <w:rFonts w:ascii="Times New Roman" w:hAnsi="Times New Roman"/>
          <w:b w:val="0"/>
          <w:i/>
          <w:sz w:val="21"/>
        </w:rPr>
        <w:t>visibility</w:t>
      </w:r>
      <w:r>
        <w:rPr>
          <w:rFonts w:ascii="Times New Roman" w:hAnsi="Times New Roman"/>
          <w:b w:val="0"/>
          <w:i w:val="0"/>
          <w:sz w:val="21"/>
        </w:rPr>
        <w:t xml:space="preserve"> is paying for it in tail-latency </w:t>
      </w:r>
      <w:r>
        <w:rPr>
          <w:rFonts w:ascii="Times New Roman" w:hAnsi="Times New Roman"/>
          <w:b w:val="0"/>
          <w:i/>
          <w:sz w:val="21"/>
        </w:rPr>
        <w:t>cost</w:t>
      </w:r>
      <w:r>
        <w:rPr>
          <w:rFonts w:ascii="Times New Roman" w:hAnsi="Times New Roman"/>
          <w:b w:val="0"/>
          <w:i w:val="0"/>
          <w:sz w:val="21"/>
        </w:rPr>
        <w:t>.</w:t>
      </w:r>
    </w:p>
    <w:p>
      <w:pPr>
        <w:spacing w:before="40" w:after="160"/>
        <w:pBdr>
          <w:bottom w:val="single" w:sz="6" w:space="1" w:color="AAAAAA"/>
        </w:pBdr>
      </w:pPr>
    </w:p>
    <w:p>
      <w:pPr>
        <w:pStyle w:val="Heading2"/>
      </w:pPr>
      <w:r>
        <w:rPr>
          <w:rFonts w:ascii="Times New Roman" w:hAnsi="Times New Roman"/>
          <w:b/>
          <w:i w:val="0"/>
          <w:color w:val="000000"/>
          <w:sz w:val="26"/>
        </w:rPr>
        <w:t>5.4 Result 4 — Separating the bundled axes: the cardinality is real</w:t>
      </w:r>
    </w:p>
    <w:p>
      <w:pPr>
        <w:jc w:val="both"/>
      </w:pPr>
      <w:r>
        <w:rPr>
          <w:rFonts w:ascii="Times New Roman" w:hAnsi="Times New Roman"/>
          <w:b w:val="0"/>
          <w:i w:val="0"/>
          <w:sz w:val="21"/>
        </w:rPr>
        <w:t xml:space="preserve">§3.3 noted that two of the four contrasts bundle an extra cost with the axis they name: both </w:t>
      </w:r>
      <w:r>
        <w:rPr>
          <w:rFonts w:ascii="Consolas" w:hAnsi="Consolas"/>
          <w:b w:val="0"/>
          <w:i w:val="0"/>
          <w:color w:val="8B1A1A"/>
          <w:sz w:val="17"/>
        </w:rPr>
        <w:t>sharded_n</w:t>
      </w:r>
      <w:r>
        <w:rPr>
          <w:rFonts w:ascii="Times New Roman" w:hAnsi="Times New Roman"/>
          <w:b w:val="0"/>
          <w:i w:val="0"/>
          <w:sz w:val="21"/>
        </w:rPr>
        <w:t xml:space="preserve"> and </w:t>
      </w:r>
      <w:r>
        <w:rPr>
          <w:rFonts w:ascii="Consolas" w:hAnsi="Consolas"/>
          <w:b w:val="0"/>
          <w:i w:val="0"/>
          <w:color w:val="8B1A1A"/>
          <w:sz w:val="17"/>
        </w:rPr>
        <w:t>hdr_histogram</w:t>
      </w:r>
      <w:r>
        <w:rPr>
          <w:rFonts w:ascii="Times New Roman" w:hAnsi="Times New Roman"/>
          <w:b w:val="0"/>
          <w:i w:val="0"/>
          <w:sz w:val="21"/>
        </w:rPr>
        <w:t xml:space="preserve"> key their maps by an owned </w:t>
      </w:r>
      <w:r>
        <w:rPr>
          <w:rFonts w:ascii="Consolas" w:hAnsi="Consolas"/>
          <w:b w:val="0"/>
          <w:i w:val="0"/>
          <w:color w:val="8B1A1A"/>
          <w:sz w:val="17"/>
        </w:rPr>
        <w:t>String</w:t>
      </w:r>
      <w:r>
        <w:rPr>
          <w:rFonts w:ascii="Times New Roman" w:hAnsi="Times New Roman"/>
          <w:b w:val="0"/>
          <w:i w:val="0"/>
          <w:sz w:val="21"/>
        </w:rPr>
        <w:t xml:space="preserve"> allocated per operation, while their comparators use a </w:t>
      </w:r>
      <w:r>
        <w:rPr>
          <w:rFonts w:ascii="Consolas" w:hAnsi="Consolas"/>
          <w:b w:val="0"/>
          <w:i w:val="0"/>
          <w:color w:val="8B1A1A"/>
          <w:sz w:val="17"/>
        </w:rPr>
        <w:t>&amp;'static str</w:t>
      </w:r>
      <w:r>
        <w:rPr>
          <w:rFonts w:ascii="Times New Roman" w:hAnsi="Times New Roman"/>
          <w:b w:val="0"/>
          <w:i w:val="0"/>
          <w:sz w:val="21"/>
        </w:rPr>
        <w:t>. Whether CARD measures cardinality or merely that allocation is not a detail — it decides whether the practitioner advice is "shrink the label set" or "intern the label". We therefore ran a dedicated experiment.</w:t>
      </w:r>
    </w:p>
    <w:p>
      <w:pPr>
        <w:jc w:val="both"/>
      </w:pPr>
      <w:r>
        <w:rPr>
          <w:rFonts w:ascii="Times New Roman" w:hAnsi="Times New Roman"/>
          <w:b/>
          <w:i w:val="0"/>
          <w:sz w:val="21"/>
        </w:rPr>
        <w:t>Instruments.</w:t>
      </w:r>
      <w:r>
        <w:rPr>
          <w:rFonts w:ascii="Times New Roman" w:hAnsi="Times New Roman"/>
          <w:b w:val="0"/>
          <w:i w:val="0"/>
          <w:sz w:val="21"/>
        </w:rPr>
        <w:t xml:space="preserve"> Two collectors were added (</w:t>
      </w:r>
      <w:r>
        <w:rPr>
          <w:rFonts w:ascii="Consolas" w:hAnsi="Consolas"/>
          <w:b w:val="0"/>
          <w:i w:val="0"/>
          <w:color w:val="8B1A1A"/>
          <w:sz w:val="17"/>
        </w:rPr>
        <w:t>src/command_metrics.rs</w:t>
      </w:r>
      <w:r>
        <w:rPr>
          <w:rFonts w:ascii="Times New Roman" w:hAnsi="Times New Roman"/>
          <w:b w:val="0"/>
          <w:i w:val="0"/>
          <w:sz w:val="21"/>
        </w:rPr>
        <w:t xml:space="preserve">). </w:t>
      </w:r>
      <w:r>
        <w:rPr>
          <w:rFonts w:ascii="Consolas" w:hAnsi="Consolas"/>
          <w:b w:val="0"/>
          <w:i w:val="0"/>
          <w:color w:val="8B1A1A"/>
          <w:sz w:val="17"/>
        </w:rPr>
        <w:t>sharded_bucketed</w:t>
      </w:r>
      <w:r>
        <w:rPr>
          <w:rFonts w:ascii="Times New Roman" w:hAnsi="Times New Roman"/>
          <w:b w:val="0"/>
          <w:i w:val="0"/>
          <w:sz w:val="21"/>
        </w:rPr>
        <w:t xml:space="preserve"> keys a </w:t>
      </w:r>
      <w:r>
        <w:rPr>
          <w:rFonts w:ascii="Consolas" w:hAnsi="Consolas"/>
          <w:b w:val="0"/>
          <w:i w:val="0"/>
          <w:color w:val="8B1A1A"/>
          <w:sz w:val="17"/>
        </w:rPr>
        <w:t>DashMap</w:t>
      </w:r>
      <w:r>
        <w:rPr>
          <w:rFonts w:ascii="Times New Roman" w:hAnsi="Times New Roman"/>
          <w:b w:val="0"/>
          <w:i w:val="0"/>
          <w:sz w:val="21"/>
        </w:rPr>
        <w:t xml:space="preserve"> by </w:t>
      </w:r>
      <w:r>
        <w:rPr>
          <w:rFonts w:ascii="Consolas" w:hAnsi="Consolas"/>
          <w:b w:val="0"/>
          <w:i w:val="0"/>
          <w:color w:val="8B1A1A"/>
          <w:sz w:val="17"/>
        </w:rPr>
        <w:t>"&lt;CMD&gt;#&lt;fnv1a(logical key) mod C&gt;"</w:t>
      </w:r>
      <w:r>
        <w:rPr>
          <w:rFonts w:ascii="Times New Roman" w:hAnsi="Times New Roman"/>
          <w:b w:val="0"/>
          <w:i w:val="0"/>
          <w:sz w:val="21"/>
        </w:rPr>
        <w:t xml:space="preserve">, with </w:t>
      </w:r>
      <w:r>
        <w:rPr>
          <w:rFonts w:ascii="Consolas" w:hAnsi="Consolas"/>
          <w:b w:val="0"/>
          <w:i w:val="0"/>
          <w:color w:val="8B1A1A"/>
          <w:sz w:val="17"/>
        </w:rPr>
        <w:t>C</w:t>
      </w:r>
      <w:r>
        <w:rPr>
          <w:rFonts w:ascii="Times New Roman" w:hAnsi="Times New Roman"/>
          <w:b w:val="0"/>
          <w:i w:val="0"/>
          <w:sz w:val="21"/>
        </w:rPr>
        <w:t xml:space="preserve"> set per run. The point is that </w:t>
      </w:r>
      <w:r>
        <w:rPr>
          <w:rFonts w:ascii="Times New Roman" w:hAnsi="Times New Roman"/>
          <w:b/>
          <w:i w:val="0"/>
          <w:sz w:val="21"/>
        </w:rPr>
        <w:t xml:space="preserve">per-operation work is identical at every </w:t>
      </w:r>
      <w:r>
        <w:rPr>
          <w:rFonts w:ascii="Consolas" w:hAnsi="Consolas"/>
          <w:b/>
          <w:i w:val="0"/>
          <w:color w:val="8B1A1A"/>
          <w:sz w:val="17"/>
        </w:rPr>
        <w:t>C</w:t>
      </w:r>
      <w:r>
        <w:rPr>
          <w:rFonts w:ascii="Times New Roman" w:hAnsi="Times New Roman"/>
          <w:b w:val="0"/>
          <w:i w:val="0"/>
          <w:sz w:val="21"/>
        </w:rPr>
        <w:t xml:space="preserve"> — one hash, one modulo, one </w:t>
      </w:r>
      <w:r>
        <w:rPr>
          <w:rFonts w:ascii="Consolas" w:hAnsi="Consolas"/>
          <w:b w:val="0"/>
          <w:i w:val="0"/>
          <w:color w:val="8B1A1A"/>
          <w:sz w:val="17"/>
        </w:rPr>
        <w:t>format!</w:t>
      </w:r>
      <w:r>
        <w:rPr>
          <w:rFonts w:ascii="Times New Roman" w:hAnsi="Times New Roman"/>
          <w:b w:val="0"/>
          <w:i w:val="0"/>
          <w:sz w:val="21"/>
        </w:rPr>
        <w:t xml:space="preserve">, one allocation, one map lookup — so sweeping </w:t>
      </w:r>
      <w:r>
        <w:rPr>
          <w:rFonts w:ascii="Consolas" w:hAnsi="Consolas"/>
          <w:b w:val="0"/>
          <w:i w:val="0"/>
          <w:color w:val="8B1A1A"/>
          <w:sz w:val="17"/>
        </w:rPr>
        <w:t>C</w:t>
      </w:r>
      <w:r>
        <w:rPr>
          <w:rFonts w:ascii="Times New Roman" w:hAnsi="Times New Roman"/>
          <w:b w:val="0"/>
          <w:i w:val="0"/>
          <w:sz w:val="21"/>
        </w:rPr>
        <w:t xml:space="preserve"> varies the number of live entries and nothing else. This is a stronger instrument than sweeping the workload key space, which would vary the request distribution alongside the cardinality. </w:t>
      </w:r>
      <w:r>
        <w:rPr>
          <w:rFonts w:ascii="Consolas" w:hAnsi="Consolas"/>
          <w:b w:val="0"/>
          <w:i w:val="0"/>
          <w:color w:val="8B1A1A"/>
          <w:sz w:val="17"/>
        </w:rPr>
        <w:t>thread_local_owned</w:t>
      </w:r>
      <w:r>
        <w:rPr>
          <w:rFonts w:ascii="Times New Roman" w:hAnsi="Times New Roman"/>
          <w:b w:val="0"/>
          <w:i w:val="0"/>
          <w:sz w:val="21"/>
        </w:rPr>
        <w:t xml:space="preserve"> is a line-for-line twin of the HdrHistogram collector with </w:t>
      </w:r>
      <w:r>
        <w:rPr>
          <w:rFonts w:ascii="Consolas" w:hAnsi="Consolas"/>
          <w:b w:val="0"/>
          <w:i w:val="0"/>
          <w:color w:val="8B1A1A"/>
          <w:sz w:val="17"/>
        </w:rPr>
        <w:t>CommandStat</w:t>
      </w:r>
      <w:r>
        <w:rPr>
          <w:rFonts w:ascii="Times New Roman" w:hAnsi="Times New Roman"/>
          <w:b w:val="0"/>
          <w:i w:val="0"/>
          <w:sz w:val="21"/>
        </w:rPr>
        <w:t xml:space="preserve"> substituted for the histogram, isolating the histogram payload.</w:t>
      </w:r>
    </w:p>
    <w:p>
      <w:pPr>
        <w:jc w:val="both"/>
      </w:pPr>
      <w:r>
        <w:rPr>
          <w:rFonts w:ascii="Times New Roman" w:hAnsi="Times New Roman"/>
          <w:b/>
          <w:i w:val="0"/>
          <w:sz w:val="21"/>
        </w:rPr>
        <w:t>Design.</w:t>
      </w:r>
      <w:r>
        <w:rPr>
          <w:rFonts w:ascii="Times New Roman" w:hAnsi="Times New Roman"/>
          <w:b w:val="0"/>
          <w:i w:val="0"/>
          <w:sz w:val="21"/>
        </w:rPr>
        <w:t xml:space="preserve"> Eight independently provisioned </w:t>
      </w:r>
      <w:r>
        <w:rPr>
          <w:rFonts w:ascii="Consolas" w:hAnsi="Consolas"/>
          <w:b w:val="0"/>
          <w:i w:val="0"/>
          <w:color w:val="8B1A1A"/>
          <w:sz w:val="17"/>
        </w:rPr>
        <w:t>Standard_D8s_v6</w:t>
      </w:r>
      <w:r>
        <w:rPr>
          <w:rFonts w:ascii="Times New Roman" w:hAnsi="Times New Roman"/>
          <w:b w:val="0"/>
          <w:i w:val="0"/>
          <w:sz w:val="21"/>
        </w:rPr>
        <w:t xml:space="preserve"> VMs (two rounds of four, across Central India ×2, South India, and West US 3; same Xeon Platinum 8573C and toolchain as the main batch), 12 strategy configurations × 3 concurrency levels × 15 blocks = 540 runs each, </w:t>
      </w:r>
      <w:r>
        <w:rPr>
          <w:rFonts w:ascii="Times New Roman" w:hAnsi="Times New Roman"/>
          <w:b/>
          <w:i w:val="0"/>
          <w:sz w:val="21"/>
        </w:rPr>
        <w:t>4,320 runs in total</w:t>
      </w:r>
      <w:r>
        <w:rPr>
          <w:rFonts w:ascii="Times New Roman" w:hAnsi="Times New Roman"/>
          <w:b w:val="0"/>
          <w:i w:val="0"/>
          <w:sz w:val="21"/>
        </w:rPr>
        <w:t>. §5.2's concurrency-invariance result is what licenses the reduced concurrency coverage here. Intervals cluster on the eight runs, t(7).</w:t>
      </w:r>
    </w:p>
    <w:p>
      <w:pPr>
        <w:jc w:val="both"/>
      </w:pPr>
      <w:r>
        <w:rPr>
          <w:rFonts w:ascii="Times New Roman" w:hAnsi="Times New Roman"/>
          <w:b/>
          <w:i w:val="0"/>
          <w:sz w:val="21"/>
        </w:rPr>
        <w:t>The anchors reproduce</w:t>
      </w:r>
      <w:r>
        <w:rPr>
          <w:rFonts w:ascii="Times New Roman" w:hAnsi="Times New Roman"/>
          <w:b w:val="0"/>
          <w:i w:val="0"/>
          <w:sz w:val="21"/>
        </w:rPr>
        <w:t>, so the batch is comparable: SYNC 0.527 (main batch 0.522), DEFER 0.290 (0.309), PAYLOAD 0.967 (0.885). CARD is 0.642 here against 0.866 in the main batch — intervals overlap, but this batch covers three concurrency levels and one workload rather than eight and three, so the main batch remains the reference for CARD's magnitude.</w:t>
      </w:r>
    </w:p>
    <w:p>
      <w:pPr>
        <w:jc w:val="both"/>
      </w:pPr>
      <w:r>
        <w:rPr>
          <w:rFonts w:ascii="Times New Roman" w:hAnsi="Times New Roman"/>
          <w:b/>
          <w:i w:val="0"/>
          <w:sz w:val="21"/>
        </w:rPr>
        <w:t>Table 6.</w:t>
      </w:r>
      <w:r>
        <w:rPr>
          <w:rFonts w:ascii="Times New Roman" w:hAnsi="Times New Roman"/>
          <w:b w:val="0"/>
          <w:i w:val="0"/>
          <w:sz w:val="21"/>
        </w:rPr>
        <w:t xml:space="preserve"> The bundled axes, decomposed (pp of throughput, 95% CI clustered on 8 runs).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912"/>
            <w:shd w:val="clear" w:color="auto" w:fill="E8E8E8"/>
          </w:tcPr>
          <w:p>
            <w:pPr>
              <w:spacing w:after="20" w:before="20"/>
              <w:jc w:val="left"/>
            </w:pPr>
            <w:r>
              <w:rPr>
                <w:rFonts w:ascii="Times New Roman" w:hAnsi="Times New Roman"/>
                <w:b/>
                <w:i w:val="0"/>
                <w:sz w:val="17"/>
              </w:rPr>
              <w:t>Quantity</w:t>
            </w:r>
          </w:p>
        </w:tc>
        <w:tc>
          <w:tcPr>
            <w:tcW w:type="dxa" w:w="788"/>
            <w:shd w:val="clear" w:color="auto" w:fill="E8E8E8"/>
          </w:tcPr>
          <w:p>
            <w:pPr>
              <w:spacing w:after="20" w:before="20"/>
              <w:jc w:val="right"/>
            </w:pPr>
            <w:r>
              <w:rPr>
                <w:rFonts w:ascii="Times New Roman" w:hAnsi="Times New Roman"/>
                <w:b/>
                <w:i w:val="0"/>
                <w:sz w:val="17"/>
              </w:rPr>
              <w:t>Estimate</w:t>
            </w:r>
          </w:p>
        </w:tc>
        <w:tc>
          <w:tcPr>
            <w:tcW w:type="dxa" w:w="1478"/>
            <w:shd w:val="clear" w:color="auto" w:fill="E8E8E8"/>
          </w:tcPr>
          <w:p>
            <w:pPr>
              <w:spacing w:after="20" w:before="20"/>
              <w:jc w:val="left"/>
            </w:pPr>
            <w:r>
              <w:rPr>
                <w:rFonts w:ascii="Times New Roman" w:hAnsi="Times New Roman"/>
                <w:b/>
                <w:i w:val="0"/>
                <w:sz w:val="17"/>
              </w:rPr>
              <w:t>95% CI</w:t>
            </w:r>
          </w:p>
        </w:tc>
        <w:tc>
          <w:tcPr>
            <w:tcW w:type="dxa" w:w="1182"/>
            <w:shd w:val="clear" w:color="auto" w:fill="E8E8E8"/>
          </w:tcPr>
          <w:p>
            <w:pPr>
              <w:spacing w:after="20" w:before="20"/>
              <w:jc w:val="left"/>
            </w:pPr>
          </w:p>
        </w:tc>
      </w:tr>
      <w:tr>
        <w:tc>
          <w:tcPr>
            <w:tcW w:type="dxa" w:w="5912"/>
          </w:tcPr>
          <w:p>
            <w:pPr>
              <w:spacing w:after="20" w:before="20"/>
              <w:jc w:val="left"/>
            </w:pPr>
            <w:r>
              <w:rPr>
                <w:rFonts w:ascii="Times New Roman" w:hAnsi="Times New Roman"/>
                <w:b/>
                <w:i w:val="0"/>
                <w:sz w:val="17"/>
              </w:rPr>
              <w:t>pure cardinality</w:t>
            </w:r>
            <w:r>
              <w:rPr>
                <w:rFonts w:ascii="Times New Roman" w:hAnsi="Times New Roman"/>
                <w:b w:val="0"/>
                <w:i w:val="0"/>
                <w:sz w:val="17"/>
              </w:rPr>
              <w:t xml:space="preserve"> (2 → 13,040 entries, per-op work identical)</w:t>
            </w:r>
          </w:p>
        </w:tc>
        <w:tc>
          <w:tcPr>
            <w:tcW w:type="dxa" w:w="788"/>
          </w:tcPr>
          <w:p>
            <w:pPr>
              <w:spacing w:after="20" w:before="20"/>
              <w:jc w:val="right"/>
            </w:pPr>
            <w:r>
              <w:rPr>
                <w:rFonts w:ascii="Times New Roman" w:hAnsi="Times New Roman"/>
                <w:b/>
                <w:i w:val="0"/>
                <w:sz w:val="17"/>
              </w:rPr>
              <w:t>0.652</w:t>
            </w:r>
          </w:p>
        </w:tc>
        <w:tc>
          <w:tcPr>
            <w:tcW w:type="dxa" w:w="1478"/>
          </w:tcPr>
          <w:p>
            <w:pPr>
              <w:spacing w:after="20" w:before="20"/>
              <w:jc w:val="left"/>
            </w:pPr>
            <w:r>
              <w:rPr>
                <w:rFonts w:ascii="Times New Roman" w:hAnsi="Times New Roman"/>
                <w:b w:val="0"/>
                <w:i w:val="0"/>
                <w:sz w:val="17"/>
              </w:rPr>
              <w:t>[0.280, 1.024]</w:t>
            </w:r>
          </w:p>
        </w:tc>
        <w:tc>
          <w:tcPr>
            <w:tcW w:type="dxa" w:w="1182"/>
          </w:tcPr>
          <w:p>
            <w:pPr>
              <w:spacing w:after="20" w:before="20"/>
              <w:jc w:val="left"/>
            </w:pPr>
            <w:r>
              <w:rPr>
                <w:rFonts w:ascii="Times New Roman" w:hAnsi="Times New Roman"/>
                <w:b w:val="0"/>
                <w:i w:val="0"/>
                <w:sz w:val="17"/>
              </w:rPr>
              <w:t>resolved</w:t>
            </w:r>
          </w:p>
        </w:tc>
      </w:tr>
      <w:tr>
        <w:tc>
          <w:tcPr>
            <w:tcW w:type="dxa" w:w="5912"/>
          </w:tcPr>
          <w:p>
            <w:pPr>
              <w:spacing w:after="20" w:before="20"/>
              <w:jc w:val="left"/>
            </w:pPr>
            <w:r>
              <w:rPr>
                <w:rFonts w:ascii="Times New Roman" w:hAnsi="Times New Roman"/>
                <w:b w:val="0"/>
                <w:i w:val="0"/>
                <w:sz w:val="17"/>
              </w:rPr>
              <w:t>CARD total (</w:t>
            </w:r>
            <w:r>
              <w:rPr>
                <w:rFonts w:ascii="Consolas" w:hAnsi="Consolas"/>
                <w:b w:val="0"/>
                <w:i w:val="0"/>
                <w:color w:val="8B1A1A"/>
                <w:sz w:val="17"/>
              </w:rPr>
              <w:t>sharded_n</w:t>
            </w:r>
            <w:r>
              <w:rPr>
                <w:rFonts w:ascii="Times New Roman" w:hAnsi="Times New Roman"/>
                <w:b w:val="0"/>
                <w:i w:val="0"/>
                <w:sz w:val="17"/>
              </w:rPr>
              <w:t xml:space="preserve"> − </w:t>
            </w:r>
            <w:r>
              <w:rPr>
                <w:rFonts w:ascii="Consolas" w:hAnsi="Consolas"/>
                <w:b w:val="0"/>
                <w:i w:val="0"/>
                <w:color w:val="8B1A1A"/>
                <w:sz w:val="17"/>
              </w:rPr>
              <w:t>sharded_2key</w:t>
            </w:r>
            <w:r>
              <w:rPr>
                <w:rFonts w:ascii="Times New Roman" w:hAnsi="Times New Roman"/>
                <w:b w:val="0"/>
                <w:i w:val="0"/>
                <w:sz w:val="17"/>
              </w:rPr>
              <w:t>)</w:t>
            </w:r>
          </w:p>
        </w:tc>
        <w:tc>
          <w:tcPr>
            <w:tcW w:type="dxa" w:w="788"/>
          </w:tcPr>
          <w:p>
            <w:pPr>
              <w:spacing w:after="20" w:before="20"/>
              <w:jc w:val="right"/>
            </w:pPr>
            <w:r>
              <w:rPr>
                <w:rFonts w:ascii="Times New Roman" w:hAnsi="Times New Roman"/>
                <w:b w:val="0"/>
                <w:i w:val="0"/>
                <w:sz w:val="17"/>
              </w:rPr>
              <w:t>0.642</w:t>
            </w:r>
          </w:p>
        </w:tc>
        <w:tc>
          <w:tcPr>
            <w:tcW w:type="dxa" w:w="1478"/>
          </w:tcPr>
          <w:p>
            <w:pPr>
              <w:spacing w:after="20" w:before="20"/>
              <w:jc w:val="left"/>
            </w:pPr>
            <w:r>
              <w:rPr>
                <w:rFonts w:ascii="Times New Roman" w:hAnsi="Times New Roman"/>
                <w:b w:val="0"/>
                <w:i w:val="0"/>
                <w:sz w:val="17"/>
              </w:rPr>
              <w:t>[0.316, 0.967]</w:t>
            </w:r>
          </w:p>
        </w:tc>
        <w:tc>
          <w:tcPr>
            <w:tcW w:type="dxa" w:w="1182"/>
          </w:tcPr>
          <w:p>
            <w:pPr>
              <w:spacing w:after="20" w:before="20"/>
              <w:jc w:val="left"/>
            </w:pPr>
            <w:r>
              <w:rPr>
                <w:rFonts w:ascii="Times New Roman" w:hAnsi="Times New Roman"/>
                <w:b w:val="0"/>
                <w:i w:val="0"/>
                <w:sz w:val="17"/>
              </w:rPr>
              <w:t>resolved</w:t>
            </w:r>
          </w:p>
        </w:tc>
      </w:tr>
      <w:tr>
        <w:tc>
          <w:tcPr>
            <w:tcW w:type="dxa" w:w="5912"/>
          </w:tcPr>
          <w:p>
            <w:pPr>
              <w:spacing w:after="20" w:before="20"/>
              <w:jc w:val="left"/>
            </w:pPr>
            <w:r>
              <w:rPr>
                <w:rFonts w:ascii="Times New Roman" w:hAnsi="Times New Roman"/>
                <w:b/>
                <w:i w:val="0"/>
                <w:sz w:val="17"/>
              </w:rPr>
              <w:t>histogram alone</w:t>
            </w:r>
            <w:r>
              <w:rPr>
                <w:rFonts w:ascii="Times New Roman" w:hAnsi="Times New Roman"/>
                <w:b w:val="0"/>
                <w:i w:val="0"/>
                <w:sz w:val="17"/>
              </w:rPr>
              <w:t xml:space="preserve"> (</w:t>
            </w:r>
            <w:r>
              <w:rPr>
                <w:rFonts w:ascii="Consolas" w:hAnsi="Consolas"/>
                <w:b w:val="0"/>
                <w:i w:val="0"/>
                <w:color w:val="8B1A1A"/>
                <w:sz w:val="17"/>
              </w:rPr>
              <w:t>hdr_histogram</w:t>
            </w:r>
            <w:r>
              <w:rPr>
                <w:rFonts w:ascii="Times New Roman" w:hAnsi="Times New Roman"/>
                <w:b w:val="0"/>
                <w:i w:val="0"/>
                <w:sz w:val="17"/>
              </w:rPr>
              <w:t xml:space="preserve"> − </w:t>
            </w:r>
            <w:r>
              <w:rPr>
                <w:rFonts w:ascii="Consolas" w:hAnsi="Consolas"/>
                <w:b w:val="0"/>
                <w:i w:val="0"/>
                <w:color w:val="8B1A1A"/>
                <w:sz w:val="17"/>
              </w:rPr>
              <w:t>thread_local_owned</w:t>
            </w:r>
            <w:r>
              <w:rPr>
                <w:rFonts w:ascii="Times New Roman" w:hAnsi="Times New Roman"/>
                <w:b w:val="0"/>
                <w:i w:val="0"/>
                <w:sz w:val="17"/>
              </w:rPr>
              <w:t>)</w:t>
            </w:r>
          </w:p>
        </w:tc>
        <w:tc>
          <w:tcPr>
            <w:tcW w:type="dxa" w:w="788"/>
          </w:tcPr>
          <w:p>
            <w:pPr>
              <w:spacing w:after="20" w:before="20"/>
              <w:jc w:val="right"/>
            </w:pPr>
            <w:r>
              <w:rPr>
                <w:rFonts w:ascii="Times New Roman" w:hAnsi="Times New Roman"/>
                <w:b/>
                <w:i w:val="0"/>
                <w:sz w:val="17"/>
              </w:rPr>
              <w:t>0.773</w:t>
            </w:r>
          </w:p>
        </w:tc>
        <w:tc>
          <w:tcPr>
            <w:tcW w:type="dxa" w:w="1478"/>
          </w:tcPr>
          <w:p>
            <w:pPr>
              <w:spacing w:after="20" w:before="20"/>
              <w:jc w:val="left"/>
            </w:pPr>
            <w:r>
              <w:rPr>
                <w:rFonts w:ascii="Times New Roman" w:hAnsi="Times New Roman"/>
                <w:b w:val="0"/>
                <w:i w:val="0"/>
                <w:sz w:val="17"/>
              </w:rPr>
              <w:t>[0.539, 1.006]</w:t>
            </w:r>
          </w:p>
        </w:tc>
        <w:tc>
          <w:tcPr>
            <w:tcW w:type="dxa" w:w="1182"/>
          </w:tcPr>
          <w:p>
            <w:pPr>
              <w:spacing w:after="20" w:before="20"/>
              <w:jc w:val="left"/>
            </w:pPr>
            <w:r>
              <w:rPr>
                <w:rFonts w:ascii="Times New Roman" w:hAnsi="Times New Roman"/>
                <w:b w:val="0"/>
                <w:i w:val="0"/>
                <w:sz w:val="17"/>
              </w:rPr>
              <w:t>resolved</w:t>
            </w:r>
          </w:p>
        </w:tc>
      </w:tr>
      <w:tr>
        <w:tc>
          <w:tcPr>
            <w:tcW w:type="dxa" w:w="5912"/>
          </w:tcPr>
          <w:p>
            <w:pPr>
              <w:spacing w:after="20" w:before="20"/>
              <w:jc w:val="left"/>
            </w:pPr>
            <w:r>
              <w:rPr>
                <w:rFonts w:ascii="Times New Roman" w:hAnsi="Times New Roman"/>
                <w:b w:val="0"/>
                <w:i w:val="0"/>
                <w:sz w:val="17"/>
              </w:rPr>
              <w:t>PAYLOAD total (</w:t>
            </w:r>
            <w:r>
              <w:rPr>
                <w:rFonts w:ascii="Consolas" w:hAnsi="Consolas"/>
                <w:b w:val="0"/>
                <w:i w:val="0"/>
                <w:color w:val="8B1A1A"/>
                <w:sz w:val="17"/>
              </w:rPr>
              <w:t>hdr_histogram</w:t>
            </w:r>
            <w:r>
              <w:rPr>
                <w:rFonts w:ascii="Times New Roman" w:hAnsi="Times New Roman"/>
                <w:b w:val="0"/>
                <w:i w:val="0"/>
                <w:sz w:val="17"/>
              </w:rPr>
              <w:t xml:space="preserve"> − </w:t>
            </w:r>
            <w:r>
              <w:rPr>
                <w:rFonts w:ascii="Consolas" w:hAnsi="Consolas"/>
                <w:b w:val="0"/>
                <w:i w:val="0"/>
                <w:color w:val="8B1A1A"/>
                <w:sz w:val="17"/>
              </w:rPr>
              <w:t>thread_local</w:t>
            </w:r>
            <w:r>
              <w:rPr>
                <w:rFonts w:ascii="Times New Roman" w:hAnsi="Times New Roman"/>
                <w:b w:val="0"/>
                <w:i w:val="0"/>
                <w:sz w:val="17"/>
              </w:rPr>
              <w:t>)</w:t>
            </w:r>
          </w:p>
        </w:tc>
        <w:tc>
          <w:tcPr>
            <w:tcW w:type="dxa" w:w="788"/>
          </w:tcPr>
          <w:p>
            <w:pPr>
              <w:spacing w:after="20" w:before="20"/>
              <w:jc w:val="right"/>
            </w:pPr>
            <w:r>
              <w:rPr>
                <w:rFonts w:ascii="Times New Roman" w:hAnsi="Times New Roman"/>
                <w:b w:val="0"/>
                <w:i w:val="0"/>
                <w:sz w:val="17"/>
              </w:rPr>
              <w:t>0.967</w:t>
            </w:r>
          </w:p>
        </w:tc>
        <w:tc>
          <w:tcPr>
            <w:tcW w:type="dxa" w:w="1478"/>
          </w:tcPr>
          <w:p>
            <w:pPr>
              <w:spacing w:after="20" w:before="20"/>
              <w:jc w:val="left"/>
            </w:pPr>
            <w:r>
              <w:rPr>
                <w:rFonts w:ascii="Times New Roman" w:hAnsi="Times New Roman"/>
                <w:b w:val="0"/>
                <w:i w:val="0"/>
                <w:sz w:val="17"/>
              </w:rPr>
              <w:t>[0.709, 1.226]</w:t>
            </w:r>
          </w:p>
        </w:tc>
        <w:tc>
          <w:tcPr>
            <w:tcW w:type="dxa" w:w="1182"/>
          </w:tcPr>
          <w:p>
            <w:pPr>
              <w:spacing w:after="20" w:before="20"/>
              <w:jc w:val="left"/>
            </w:pPr>
            <w:r>
              <w:rPr>
                <w:rFonts w:ascii="Times New Roman" w:hAnsi="Times New Roman"/>
                <w:b w:val="0"/>
                <w:i w:val="0"/>
                <w:sz w:val="17"/>
              </w:rPr>
              <w:t>resolved</w:t>
            </w:r>
          </w:p>
        </w:tc>
      </w:tr>
      <w:tr>
        <w:tc>
          <w:tcPr>
            <w:tcW w:type="dxa" w:w="5912"/>
          </w:tcPr>
          <w:p>
            <w:pPr>
              <w:spacing w:after="20" w:before="20"/>
              <w:jc w:val="left"/>
            </w:pPr>
            <w:r>
              <w:rPr>
                <w:rFonts w:ascii="Times New Roman" w:hAnsi="Times New Roman"/>
                <w:b w:val="0"/>
                <w:i w:val="0"/>
                <w:sz w:val="17"/>
              </w:rPr>
              <w:t xml:space="preserve">key construction, FNV + </w:t>
            </w:r>
            <w:r>
              <w:rPr>
                <w:rFonts w:ascii="Consolas" w:hAnsi="Consolas"/>
                <w:b w:val="0"/>
                <w:i w:val="0"/>
                <w:color w:val="8B1A1A"/>
                <w:sz w:val="17"/>
              </w:rPr>
              <w:t>format!</w:t>
            </w:r>
            <w:r>
              <w:rPr>
                <w:rFonts w:ascii="Times New Roman" w:hAnsi="Times New Roman"/>
                <w:b w:val="0"/>
                <w:i w:val="0"/>
                <w:sz w:val="17"/>
              </w:rPr>
              <w:t xml:space="preserve"> (</w:t>
            </w:r>
            <w:r>
              <w:rPr>
                <w:rFonts w:ascii="Consolas" w:hAnsi="Consolas"/>
                <w:b w:val="0"/>
                <w:i w:val="0"/>
                <w:color w:val="8B1A1A"/>
                <w:sz w:val="17"/>
              </w:rPr>
              <w:t>sharded_bucketed</w:t>
            </w:r>
            <w:r>
              <w:rPr>
                <w:rFonts w:ascii="Times New Roman" w:hAnsi="Times New Roman"/>
                <w:b w:val="0"/>
                <w:i w:val="0"/>
                <w:sz w:val="17"/>
              </w:rPr>
              <w:t xml:space="preserve">@1 − </w:t>
            </w:r>
            <w:r>
              <w:rPr>
                <w:rFonts w:ascii="Consolas" w:hAnsi="Consolas"/>
                <w:b w:val="0"/>
                <w:i w:val="0"/>
                <w:color w:val="8B1A1A"/>
                <w:sz w:val="17"/>
              </w:rPr>
              <w:t>sharded_2key</w:t>
            </w:r>
            <w:r>
              <w:rPr>
                <w:rFonts w:ascii="Times New Roman" w:hAnsi="Times New Roman"/>
                <w:b w:val="0"/>
                <w:i w:val="0"/>
                <w:sz w:val="17"/>
              </w:rPr>
              <w:t>)</w:t>
            </w:r>
          </w:p>
        </w:tc>
        <w:tc>
          <w:tcPr>
            <w:tcW w:type="dxa" w:w="788"/>
          </w:tcPr>
          <w:p>
            <w:pPr>
              <w:spacing w:after="20" w:before="20"/>
              <w:jc w:val="right"/>
            </w:pPr>
            <w:r>
              <w:rPr>
                <w:rFonts w:ascii="Times New Roman" w:hAnsi="Times New Roman"/>
                <w:b w:val="0"/>
                <w:i w:val="0"/>
                <w:sz w:val="17"/>
              </w:rPr>
              <w:t>0.855</w:t>
            </w:r>
          </w:p>
        </w:tc>
        <w:tc>
          <w:tcPr>
            <w:tcW w:type="dxa" w:w="1478"/>
          </w:tcPr>
          <w:p>
            <w:pPr>
              <w:spacing w:after="20" w:before="20"/>
              <w:jc w:val="left"/>
            </w:pPr>
            <w:r>
              <w:rPr>
                <w:rFonts w:ascii="Times New Roman" w:hAnsi="Times New Roman"/>
                <w:b w:val="0"/>
                <w:i w:val="0"/>
                <w:sz w:val="17"/>
              </w:rPr>
              <w:t>[0.393, 1.317]</w:t>
            </w:r>
          </w:p>
        </w:tc>
        <w:tc>
          <w:tcPr>
            <w:tcW w:type="dxa" w:w="1182"/>
          </w:tcPr>
          <w:p>
            <w:pPr>
              <w:spacing w:after="20" w:before="20"/>
              <w:jc w:val="left"/>
            </w:pPr>
            <w:r>
              <w:rPr>
                <w:rFonts w:ascii="Times New Roman" w:hAnsi="Times New Roman"/>
                <w:b w:val="0"/>
                <w:i w:val="0"/>
                <w:sz w:val="17"/>
              </w:rPr>
              <w:t>resolved</w:t>
            </w:r>
          </w:p>
        </w:tc>
      </w:tr>
      <w:tr>
        <w:tc>
          <w:tcPr>
            <w:tcW w:type="dxa" w:w="5912"/>
          </w:tcPr>
          <w:p>
            <w:pPr>
              <w:spacing w:after="20" w:before="20"/>
              <w:jc w:val="left"/>
            </w:pPr>
            <w:r>
              <w:rPr>
                <w:rFonts w:ascii="Times New Roman" w:hAnsi="Times New Roman"/>
                <w:b w:val="0"/>
                <w:i w:val="0"/>
                <w:sz w:val="17"/>
              </w:rPr>
              <w:t>owned-key allocation, TLS path (</w:t>
            </w:r>
            <w:r>
              <w:rPr>
                <w:rFonts w:ascii="Consolas" w:hAnsi="Consolas"/>
                <w:b w:val="0"/>
                <w:i w:val="0"/>
                <w:color w:val="8B1A1A"/>
                <w:sz w:val="17"/>
              </w:rPr>
              <w:t>thread_local_owned</w:t>
            </w:r>
            <w:r>
              <w:rPr>
                <w:rFonts w:ascii="Times New Roman" w:hAnsi="Times New Roman"/>
                <w:b w:val="0"/>
                <w:i w:val="0"/>
                <w:sz w:val="17"/>
              </w:rPr>
              <w:t xml:space="preserve"> − </w:t>
            </w:r>
            <w:r>
              <w:rPr>
                <w:rFonts w:ascii="Consolas" w:hAnsi="Consolas"/>
                <w:b w:val="0"/>
                <w:i w:val="0"/>
                <w:color w:val="8B1A1A"/>
                <w:sz w:val="17"/>
              </w:rPr>
              <w:t>thread_local</w:t>
            </w:r>
            <w:r>
              <w:rPr>
                <w:rFonts w:ascii="Times New Roman" w:hAnsi="Times New Roman"/>
                <w:b w:val="0"/>
                <w:i w:val="0"/>
                <w:sz w:val="17"/>
              </w:rPr>
              <w:t>)</w:t>
            </w:r>
          </w:p>
        </w:tc>
        <w:tc>
          <w:tcPr>
            <w:tcW w:type="dxa" w:w="788"/>
          </w:tcPr>
          <w:p>
            <w:pPr>
              <w:spacing w:after="20" w:before="20"/>
              <w:jc w:val="right"/>
            </w:pPr>
            <w:r>
              <w:rPr>
                <w:rFonts w:ascii="Times New Roman" w:hAnsi="Times New Roman"/>
                <w:b w:val="0"/>
                <w:i w:val="0"/>
                <w:sz w:val="17"/>
              </w:rPr>
              <w:t>0.195</w:t>
            </w:r>
          </w:p>
        </w:tc>
        <w:tc>
          <w:tcPr>
            <w:tcW w:type="dxa" w:w="1478"/>
          </w:tcPr>
          <w:p>
            <w:pPr>
              <w:spacing w:after="20" w:before="20"/>
              <w:jc w:val="left"/>
            </w:pPr>
            <w:r>
              <w:rPr>
                <w:rFonts w:ascii="Times New Roman" w:hAnsi="Times New Roman"/>
                <w:b w:val="0"/>
                <w:i w:val="0"/>
                <w:sz w:val="17"/>
              </w:rPr>
              <w:t>[−0.017, 0.407]</w:t>
            </w:r>
          </w:p>
        </w:tc>
        <w:tc>
          <w:tcPr>
            <w:tcW w:type="dxa" w:w="1182"/>
          </w:tcPr>
          <w:p>
            <w:pPr>
              <w:spacing w:after="20" w:before="20"/>
              <w:jc w:val="left"/>
            </w:pPr>
            <w:r>
              <w:rPr>
                <w:rFonts w:ascii="Times New Roman" w:hAnsi="Times New Roman"/>
                <w:b w:val="0"/>
                <w:i w:val="0"/>
                <w:sz w:val="17"/>
              </w:rPr>
              <w:t>not resolved</w:t>
            </w:r>
          </w:p>
        </w:tc>
      </w:tr>
    </w:tbl>
    <w:p>
      <w:pPr>
        <w:spacing w:after="40"/>
      </w:pPr>
    </w:p>
    <w:p>
      <w:pPr>
        <w:jc w:val="both"/>
      </w:pPr>
      <w:r>
        <w:rPr>
          <w:rFonts w:ascii="Times New Roman" w:hAnsi="Times New Roman"/>
          <w:b w:val="0"/>
          <w:i w:val="0"/>
          <w:sz w:val="21"/>
        </w:rPr>
        <w:t xml:space="preserve">Two conclusions follow. </w:t>
      </w:r>
      <w:r>
        <w:rPr>
          <w:rFonts w:ascii="Times New Roman" w:hAnsi="Times New Roman"/>
          <w:b/>
          <w:i w:val="0"/>
          <w:sz w:val="21"/>
        </w:rPr>
        <w:t>The CARD axis is genuinely cardinality</w:t>
      </w:r>
      <w:r>
        <w:rPr>
          <w:rFonts w:ascii="Times New Roman" w:hAnsi="Times New Roman"/>
          <w:b w:val="0"/>
          <w:i w:val="0"/>
          <w:sz w:val="21"/>
        </w:rPr>
        <w:t xml:space="preserve">: the pure entry-count effect (0.652) accounts for essentially all of CARD's total (0.642), leaving no room for a material allocation component in </w:t>
      </w:r>
      <w:r>
        <w:rPr>
          <w:rFonts w:ascii="Consolas" w:hAnsi="Consolas"/>
          <w:b w:val="0"/>
          <w:i w:val="0"/>
          <w:color w:val="8B1A1A"/>
          <w:sz w:val="17"/>
        </w:rPr>
        <w:t>sharded_n</w:t>
      </w:r>
      <w:r>
        <w:rPr>
          <w:rFonts w:ascii="Times New Roman" w:hAnsi="Times New Roman"/>
          <w:b w:val="0"/>
          <w:i w:val="0"/>
          <w:sz w:val="21"/>
        </w:rPr>
        <w:t xml:space="preserve">'s key path. </w:t>
      </w:r>
      <w:r>
        <w:rPr>
          <w:rFonts w:ascii="Times New Roman" w:hAnsi="Times New Roman"/>
          <w:b/>
          <w:i w:val="0"/>
          <w:sz w:val="21"/>
        </w:rPr>
        <w:t>The PAYLOAD axis is genuinely the histogram</w:t>
      </w:r>
      <w:r>
        <w:rPr>
          <w:rFonts w:ascii="Times New Roman" w:hAnsi="Times New Roman"/>
          <w:b w:val="0"/>
          <w:i w:val="0"/>
          <w:sz w:val="21"/>
        </w:rPr>
        <w:t>: 0.773 of 0.967, or about 80%, with the residual allocation term not resolved. Both bundles are dominated by the axis they are named for, which is the outcome that supports the paper's framing rather than overturning it.</w:t>
      </w:r>
    </w:p>
    <w:p>
      <w:pPr>
        <w:jc w:val="both"/>
      </w:pPr>
      <w:r>
        <w:rPr>
          <w:rFonts w:ascii="Times New Roman" w:hAnsi="Times New Roman"/>
          <w:b w:val="0"/>
          <w:i w:val="0"/>
          <w:sz w:val="21"/>
        </w:rPr>
        <w:t xml:space="preserve">The key-construction figure is separately interesting — building a key with a hash and a </w:t>
      </w:r>
      <w:r>
        <w:rPr>
          <w:rFonts w:ascii="Consolas" w:hAnsi="Consolas"/>
          <w:b w:val="0"/>
          <w:i w:val="0"/>
          <w:color w:val="8B1A1A"/>
          <w:sz w:val="17"/>
        </w:rPr>
        <w:t>format!</w:t>
      </w:r>
      <w:r>
        <w:rPr>
          <w:rFonts w:ascii="Times New Roman" w:hAnsi="Times New Roman"/>
          <w:b w:val="0"/>
          <w:i w:val="0"/>
          <w:sz w:val="21"/>
        </w:rPr>
        <w:t xml:space="preserve"> costs 0.855 pp, comparable to the whole cardinality effect — but it is the </w:t>
      </w:r>
      <w:r>
        <w:rPr>
          <w:rFonts w:ascii="Times New Roman" w:hAnsi="Times New Roman"/>
          <w:b w:val="0"/>
          <w:i/>
          <w:sz w:val="21"/>
        </w:rPr>
        <w:t>bucketed collector's own</w:t>
      </w:r>
      <w:r>
        <w:rPr>
          <w:rFonts w:ascii="Times New Roman" w:hAnsi="Times New Roman"/>
          <w:b w:val="0"/>
          <w:i w:val="0"/>
          <w:sz w:val="21"/>
        </w:rPr>
        <w:t xml:space="preserve"> key path, not a component of CARD, and we do not fold it into the headline.</w:t>
      </w:r>
    </w:p>
    <w:p>
      <w:pPr>
        <w:jc w:val="both"/>
      </w:pPr>
      <w:r>
        <w:rPr>
          <w:rFonts w:ascii="Times New Roman" w:hAnsi="Times New Roman"/>
          <w:b/>
          <w:i w:val="0"/>
          <w:sz w:val="21"/>
        </w:rPr>
        <w:t>The cardinality cost is not linear in entries; it appears above ~10³.</w:t>
      </w:r>
    </w:p>
    <w:p>
      <w:pPr>
        <w:keepNext/>
        <w:spacing w:before="160" w:after="40"/>
        <w:jc w:val="center"/>
      </w:pPr>
      <w:r>
        <w:drawing>
          <wp:inline xmlns:a="http://schemas.openxmlformats.org/drawingml/2006/main" xmlns:pic="http://schemas.openxmlformats.org/drawingml/2006/picture">
            <wp:extent cx="5943600" cy="2485827"/>
            <wp:docPr id="4" name="Picture 4"/>
            <wp:cNvGraphicFramePr>
              <a:graphicFrameLocks noChangeAspect="1"/>
            </wp:cNvGraphicFramePr>
            <a:graphic>
              <a:graphicData uri="http://schemas.openxmlformats.org/drawingml/2006/picture">
                <pic:pic>
                  <pic:nvPicPr>
                    <pic:cNvPr id="0" name="axes_fig4_cardinality_curve.png"/>
                    <pic:cNvPicPr/>
                  </pic:nvPicPr>
                  <pic:blipFill>
                    <a:blip r:embed="rId13"/>
                    <a:stretch>
                      <a:fillRect/>
                    </a:stretch>
                  </pic:blipFill>
                  <pic:spPr>
                    <a:xfrm>
                      <a:off x="0" y="0"/>
                      <a:ext cx="5943600" cy="2485827"/>
                    </a:xfrm>
                    <a:prstGeom prst="rect"/>
                  </pic:spPr>
                </pic:pic>
              </a:graphicData>
            </a:graphic>
          </wp:inline>
        </w:drawing>
      </w:r>
    </w:p>
    <w:p>
      <w:pPr>
        <w:jc w:val="both"/>
      </w:pPr>
      <w:r>
        <w:rPr>
          <w:rFonts w:ascii="Times New Roman" w:hAnsi="Times New Roman"/>
          <w:b/>
          <w:i w:val="0"/>
          <w:sz w:val="21"/>
        </w:rPr>
        <w:t>Figure 4.</w:t>
      </w:r>
      <w:r>
        <w:rPr>
          <w:rFonts w:ascii="Times New Roman" w:hAnsi="Times New Roman"/>
          <w:b w:val="0"/>
          <w:i w:val="0"/>
          <w:sz w:val="21"/>
        </w:rPr>
        <w:t xml:space="preserve"> Cost as the live entry count sweeps 3.5 decades with per-operation work held constant, shown two ways from the same data. </w:t>
      </w:r>
      <w:r>
        <w:rPr>
          <w:rFonts w:ascii="Times New Roman" w:hAnsi="Times New Roman"/>
          <w:b/>
          <w:i w:val="0"/>
          <w:sz w:val="21"/>
        </w:rPr>
        <w:t>(a)</w:t>
      </w:r>
      <w:r>
        <w:rPr>
          <w:rFonts w:ascii="Times New Roman" w:hAnsi="Times New Roman"/>
          <w:b w:val="0"/>
          <w:i w:val="0"/>
          <w:sz w:val="21"/>
        </w:rPr>
        <w:t xml:space="preserve"> the </w:t>
      </w:r>
      <w:r>
        <w:rPr>
          <w:rFonts w:ascii="Times New Roman" w:hAnsi="Times New Roman"/>
          <w:b w:val="0"/>
          <w:i/>
          <w:sz w:val="21"/>
        </w:rPr>
        <w:t>paired</w:t>
      </w:r>
      <w:r>
        <w:rPr>
          <w:rFonts w:ascii="Times New Roman" w:hAnsi="Times New Roman"/>
          <w:b w:val="0"/>
          <w:i w:val="0"/>
          <w:sz w:val="21"/>
        </w:rPr>
        <w:t xml:space="preserve"> difference against the 2-entry configuration — the quantity actually tested, and the intervals the resolved/unresolved verdict rests on. </w:t>
      </w:r>
      <w:r>
        <w:rPr>
          <w:rFonts w:ascii="Times New Roman" w:hAnsi="Times New Roman"/>
          <w:b/>
          <w:i w:val="0"/>
          <w:sz w:val="21"/>
        </w:rPr>
        <w:t>(b)</w:t>
      </w:r>
      <w:r>
        <w:rPr>
          <w:rFonts w:ascii="Times New Roman" w:hAnsi="Times New Roman"/>
          <w:b w:val="0"/>
          <w:i w:val="0"/>
          <w:sz w:val="21"/>
        </w:rPr>
        <w:t xml:space="preserve"> each configuration's absolute cost. Panel (b) is included because reading it alone invites a specific error: its intervals overlap between adjacent cardinalities, which resembles "no difference", but overlapping intervals are not a test of a difference. The two forms have broadly similar interval widths here; the paired comparison wins by removing the baseline instrumentation cost common to every cardinality, not by being tighter.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12"/>
            <w:shd w:val="clear" w:color="auto" w:fill="E8E8E8"/>
          </w:tcPr>
          <w:p>
            <w:pPr>
              <w:spacing w:after="20" w:before="20"/>
              <w:jc w:val="right"/>
            </w:pPr>
            <w:r>
              <w:rPr>
                <w:rFonts w:ascii="Times New Roman" w:hAnsi="Times New Roman"/>
                <w:b/>
                <w:i w:val="0"/>
                <w:sz w:val="17"/>
              </w:rPr>
              <w:t>Data entries</w:t>
            </w:r>
          </w:p>
        </w:tc>
        <w:tc>
          <w:tcPr>
            <w:tcW w:type="dxa" w:w="2415"/>
            <w:shd w:val="clear" w:color="auto" w:fill="E8E8E8"/>
          </w:tcPr>
          <w:p>
            <w:pPr>
              <w:spacing w:after="20" w:before="20"/>
              <w:jc w:val="right"/>
            </w:pPr>
            <w:r>
              <w:rPr>
                <w:rFonts w:ascii="Times New Roman" w:hAnsi="Times New Roman"/>
                <w:b/>
                <w:i w:val="0"/>
                <w:sz w:val="17"/>
              </w:rPr>
              <w:t xml:space="preserve">Cost vs </w:t>
            </w:r>
            <w:r>
              <w:rPr>
                <w:rFonts w:ascii="Consolas" w:hAnsi="Consolas"/>
                <w:b/>
                <w:i w:val="0"/>
                <w:color w:val="8B1A1A"/>
                <w:sz w:val="17"/>
              </w:rPr>
              <w:t>disabled</w:t>
            </w:r>
          </w:p>
        </w:tc>
        <w:tc>
          <w:tcPr>
            <w:tcW w:type="dxa" w:w="3321"/>
            <w:shd w:val="clear" w:color="auto" w:fill="E8E8E8"/>
          </w:tcPr>
          <w:p>
            <w:pPr>
              <w:spacing w:after="20" w:before="20"/>
              <w:jc w:val="left"/>
            </w:pPr>
            <w:r>
              <w:rPr>
                <w:rFonts w:ascii="Times New Roman" w:hAnsi="Times New Roman"/>
                <w:b/>
                <w:i w:val="0"/>
                <w:sz w:val="17"/>
              </w:rPr>
              <w:t>vs 2 entries</w:t>
            </w:r>
          </w:p>
        </w:tc>
        <w:tc>
          <w:tcPr>
            <w:tcW w:type="dxa" w:w="1812"/>
            <w:shd w:val="clear" w:color="auto" w:fill="E8E8E8"/>
          </w:tcPr>
          <w:p>
            <w:pPr>
              <w:spacing w:after="20" w:before="20"/>
              <w:jc w:val="left"/>
            </w:pPr>
          </w:p>
        </w:tc>
      </w:tr>
      <w:tr>
        <w:tc>
          <w:tcPr>
            <w:tcW w:type="dxa" w:w="1812"/>
          </w:tcPr>
          <w:p>
            <w:pPr>
              <w:spacing w:after="20" w:before="20"/>
              <w:jc w:val="right"/>
            </w:pPr>
            <w:r>
              <w:rPr>
                <w:rFonts w:ascii="Times New Roman" w:hAnsi="Times New Roman"/>
                <w:b w:val="0"/>
                <w:i w:val="0"/>
                <w:sz w:val="17"/>
              </w:rPr>
              <w:t>2</w:t>
            </w:r>
          </w:p>
        </w:tc>
        <w:tc>
          <w:tcPr>
            <w:tcW w:type="dxa" w:w="2415"/>
          </w:tcPr>
          <w:p>
            <w:pPr>
              <w:spacing w:after="20" w:before="20"/>
              <w:jc w:val="right"/>
            </w:pPr>
            <w:r>
              <w:rPr>
                <w:rFonts w:ascii="Times New Roman" w:hAnsi="Times New Roman"/>
                <w:b w:val="0"/>
                <w:i w:val="0"/>
                <w:sz w:val="17"/>
              </w:rPr>
              <w:t>1.707%</w:t>
            </w:r>
          </w:p>
        </w:tc>
        <w:tc>
          <w:tcPr>
            <w:tcW w:type="dxa" w:w="3321"/>
          </w:tcPr>
          <w:p>
            <w:pPr>
              <w:spacing w:after="20" w:before="20"/>
              <w:jc w:val="left"/>
            </w:pPr>
            <w:r>
              <w:rPr>
                <w:rFonts w:ascii="Times New Roman" w:hAnsi="Times New Roman"/>
                <w:b w:val="0"/>
                <w:i w:val="0"/>
                <w:sz w:val="17"/>
              </w:rPr>
              <w:t>(reference)</w:t>
            </w:r>
          </w:p>
        </w:tc>
        <w:tc>
          <w:tcPr>
            <w:tcW w:type="dxa" w:w="1812"/>
          </w:tcPr>
          <w:p>
            <w:pPr>
              <w:spacing w:after="20" w:before="20"/>
              <w:jc w:val="left"/>
            </w:pPr>
          </w:p>
        </w:tc>
      </w:tr>
      <w:tr>
        <w:tc>
          <w:tcPr>
            <w:tcW w:type="dxa" w:w="1812"/>
          </w:tcPr>
          <w:p>
            <w:pPr>
              <w:spacing w:after="20" w:before="20"/>
              <w:jc w:val="right"/>
            </w:pPr>
            <w:r>
              <w:rPr>
                <w:rFonts w:ascii="Times New Roman" w:hAnsi="Times New Roman"/>
                <w:b w:val="0"/>
                <w:i w:val="0"/>
                <w:sz w:val="17"/>
              </w:rPr>
              <w:t>20</w:t>
            </w:r>
          </w:p>
        </w:tc>
        <w:tc>
          <w:tcPr>
            <w:tcW w:type="dxa" w:w="2415"/>
          </w:tcPr>
          <w:p>
            <w:pPr>
              <w:spacing w:after="20" w:before="20"/>
              <w:jc w:val="right"/>
            </w:pPr>
            <w:r>
              <w:rPr>
                <w:rFonts w:ascii="Times New Roman" w:hAnsi="Times New Roman"/>
                <w:b w:val="0"/>
                <w:i w:val="0"/>
                <w:sz w:val="17"/>
              </w:rPr>
              <w:t>1.805%</w:t>
            </w:r>
          </w:p>
        </w:tc>
        <w:tc>
          <w:tcPr>
            <w:tcW w:type="dxa" w:w="3321"/>
          </w:tcPr>
          <w:p>
            <w:pPr>
              <w:spacing w:after="20" w:before="20"/>
              <w:jc w:val="left"/>
            </w:pPr>
            <w:r>
              <w:rPr>
                <w:rFonts w:ascii="Times New Roman" w:hAnsi="Times New Roman"/>
                <w:b w:val="0"/>
                <w:i w:val="0"/>
                <w:sz w:val="17"/>
              </w:rPr>
              <w:t>+0.097 [−0.107, 0.302]</w:t>
            </w:r>
          </w:p>
        </w:tc>
        <w:tc>
          <w:tcPr>
            <w:tcW w:type="dxa" w:w="1812"/>
          </w:tcPr>
          <w:p>
            <w:pPr>
              <w:spacing w:after="20" w:before="20"/>
              <w:jc w:val="left"/>
            </w:pPr>
            <w:r>
              <w:rPr>
                <w:rFonts w:ascii="Times New Roman" w:hAnsi="Times New Roman"/>
                <w:b w:val="0"/>
                <w:i w:val="0"/>
                <w:sz w:val="17"/>
              </w:rPr>
              <w:t>not resolved</w:t>
            </w:r>
          </w:p>
        </w:tc>
      </w:tr>
      <w:tr>
        <w:tc>
          <w:tcPr>
            <w:tcW w:type="dxa" w:w="1812"/>
          </w:tcPr>
          <w:p>
            <w:pPr>
              <w:spacing w:after="20" w:before="20"/>
              <w:jc w:val="right"/>
            </w:pPr>
            <w:r>
              <w:rPr>
                <w:rFonts w:ascii="Times New Roman" w:hAnsi="Times New Roman"/>
                <w:b w:val="0"/>
                <w:i w:val="0"/>
                <w:sz w:val="17"/>
              </w:rPr>
              <w:t>200</w:t>
            </w:r>
          </w:p>
        </w:tc>
        <w:tc>
          <w:tcPr>
            <w:tcW w:type="dxa" w:w="2415"/>
          </w:tcPr>
          <w:p>
            <w:pPr>
              <w:spacing w:after="20" w:before="20"/>
              <w:jc w:val="right"/>
            </w:pPr>
            <w:r>
              <w:rPr>
                <w:rFonts w:ascii="Times New Roman" w:hAnsi="Times New Roman"/>
                <w:b w:val="0"/>
                <w:i w:val="0"/>
                <w:sz w:val="17"/>
              </w:rPr>
              <w:t>1.796%</w:t>
            </w:r>
          </w:p>
        </w:tc>
        <w:tc>
          <w:tcPr>
            <w:tcW w:type="dxa" w:w="3321"/>
          </w:tcPr>
          <w:p>
            <w:pPr>
              <w:spacing w:after="20" w:before="20"/>
              <w:jc w:val="left"/>
            </w:pPr>
            <w:r>
              <w:rPr>
                <w:rFonts w:ascii="Times New Roman" w:hAnsi="Times New Roman"/>
                <w:b w:val="0"/>
                <w:i w:val="0"/>
                <w:sz w:val="17"/>
              </w:rPr>
              <w:t>+0.089 [−0.175, 0.352]</w:t>
            </w:r>
          </w:p>
        </w:tc>
        <w:tc>
          <w:tcPr>
            <w:tcW w:type="dxa" w:w="1812"/>
          </w:tcPr>
          <w:p>
            <w:pPr>
              <w:spacing w:after="20" w:before="20"/>
              <w:jc w:val="left"/>
            </w:pPr>
            <w:r>
              <w:rPr>
                <w:rFonts w:ascii="Times New Roman" w:hAnsi="Times New Roman"/>
                <w:b w:val="0"/>
                <w:i w:val="0"/>
                <w:sz w:val="17"/>
              </w:rPr>
              <w:t>not resolved</w:t>
            </w:r>
          </w:p>
        </w:tc>
      </w:tr>
      <w:tr>
        <w:tc>
          <w:tcPr>
            <w:tcW w:type="dxa" w:w="1812"/>
          </w:tcPr>
          <w:p>
            <w:pPr>
              <w:spacing w:after="20" w:before="20"/>
              <w:jc w:val="right"/>
            </w:pPr>
            <w:r>
              <w:rPr>
                <w:rFonts w:ascii="Times New Roman" w:hAnsi="Times New Roman"/>
                <w:b w:val="0"/>
                <w:i w:val="0"/>
                <w:sz w:val="17"/>
              </w:rPr>
              <w:t>2,000</w:t>
            </w:r>
          </w:p>
        </w:tc>
        <w:tc>
          <w:tcPr>
            <w:tcW w:type="dxa" w:w="2415"/>
          </w:tcPr>
          <w:p>
            <w:pPr>
              <w:spacing w:after="20" w:before="20"/>
              <w:jc w:val="right"/>
            </w:pPr>
            <w:r>
              <w:rPr>
                <w:rFonts w:ascii="Times New Roman" w:hAnsi="Times New Roman"/>
                <w:b w:val="0"/>
                <w:i w:val="0"/>
                <w:sz w:val="17"/>
              </w:rPr>
              <w:t>2.014%</w:t>
            </w:r>
          </w:p>
        </w:tc>
        <w:tc>
          <w:tcPr>
            <w:tcW w:type="dxa" w:w="3321"/>
          </w:tcPr>
          <w:p>
            <w:pPr>
              <w:spacing w:after="20" w:before="20"/>
              <w:jc w:val="left"/>
            </w:pPr>
            <w:r>
              <w:rPr>
                <w:rFonts w:ascii="Times New Roman" w:hAnsi="Times New Roman"/>
                <w:b w:val="0"/>
                <w:i w:val="0"/>
                <w:sz w:val="17"/>
              </w:rPr>
              <w:t>+0.306 [0.069, 0.543]</w:t>
            </w:r>
          </w:p>
        </w:tc>
        <w:tc>
          <w:tcPr>
            <w:tcW w:type="dxa" w:w="1812"/>
          </w:tcPr>
          <w:p>
            <w:pPr>
              <w:spacing w:after="20" w:before="20"/>
              <w:jc w:val="left"/>
            </w:pPr>
            <w:r>
              <w:rPr>
                <w:rFonts w:ascii="Times New Roman" w:hAnsi="Times New Roman"/>
                <w:b w:val="0"/>
                <w:i w:val="0"/>
                <w:sz w:val="17"/>
              </w:rPr>
              <w:t>resolved</w:t>
            </w:r>
          </w:p>
        </w:tc>
      </w:tr>
      <w:tr>
        <w:tc>
          <w:tcPr>
            <w:tcW w:type="dxa" w:w="1812"/>
          </w:tcPr>
          <w:p>
            <w:pPr>
              <w:spacing w:after="20" w:before="20"/>
              <w:jc w:val="right"/>
            </w:pPr>
            <w:r>
              <w:rPr>
                <w:rFonts w:ascii="Times New Roman" w:hAnsi="Times New Roman"/>
                <w:b w:val="0"/>
                <w:i w:val="0"/>
                <w:sz w:val="17"/>
              </w:rPr>
              <w:t>13,040</w:t>
            </w:r>
          </w:p>
        </w:tc>
        <w:tc>
          <w:tcPr>
            <w:tcW w:type="dxa" w:w="2415"/>
          </w:tcPr>
          <w:p>
            <w:pPr>
              <w:spacing w:after="20" w:before="20"/>
              <w:jc w:val="right"/>
            </w:pPr>
            <w:r>
              <w:rPr>
                <w:rFonts w:ascii="Times New Roman" w:hAnsi="Times New Roman"/>
                <w:b w:val="0"/>
                <w:i w:val="0"/>
                <w:sz w:val="17"/>
              </w:rPr>
              <w:t>2.360%</w:t>
            </w:r>
          </w:p>
        </w:tc>
        <w:tc>
          <w:tcPr>
            <w:tcW w:type="dxa" w:w="3321"/>
          </w:tcPr>
          <w:p>
            <w:pPr>
              <w:spacing w:after="20" w:before="20"/>
              <w:jc w:val="left"/>
            </w:pPr>
            <w:r>
              <w:rPr>
                <w:rFonts w:ascii="Times New Roman" w:hAnsi="Times New Roman"/>
                <w:b w:val="0"/>
                <w:i w:val="0"/>
                <w:sz w:val="17"/>
              </w:rPr>
              <w:t>+0.652 [0.280, 1.024]</w:t>
            </w:r>
          </w:p>
        </w:tc>
        <w:tc>
          <w:tcPr>
            <w:tcW w:type="dxa" w:w="1812"/>
          </w:tcPr>
          <w:p>
            <w:pPr>
              <w:spacing w:after="20" w:before="20"/>
              <w:jc w:val="left"/>
            </w:pPr>
            <w:r>
              <w:rPr>
                <w:rFonts w:ascii="Times New Roman" w:hAnsi="Times New Roman"/>
                <w:b w:val="0"/>
                <w:i w:val="0"/>
                <w:sz w:val="17"/>
              </w:rPr>
              <w:t>resolved</w:t>
            </w:r>
          </w:p>
        </w:tc>
      </w:tr>
    </w:tbl>
    <w:p>
      <w:pPr>
        <w:spacing w:after="40"/>
      </w:pPr>
    </w:p>
    <w:p>
      <w:pPr>
        <w:jc w:val="both"/>
      </w:pPr>
      <w:r>
        <w:rPr>
          <w:rFonts w:ascii="Times New Roman" w:hAnsi="Times New Roman"/>
          <w:b w:val="0"/>
          <w:i w:val="0"/>
          <w:sz w:val="21"/>
        </w:rPr>
        <w:t>Below roughly a thousand entries the effect is indistinguishable from zero at this design's resolution. Practitioners bounding label cardinality in the tens or low hundreds are therefore not buying throughput by doing so — the server-side cost only becomes measurable in the thousands. (The backend argument for bounding cardinality is unaffected; it is a different cost.)</w:t>
      </w:r>
    </w:p>
    <w:p>
      <w:pPr>
        <w:jc w:val="both"/>
      </w:pPr>
      <w:r>
        <w:rPr>
          <w:rFonts w:ascii="Times New Roman" w:hAnsi="Times New Roman"/>
          <w:b/>
          <w:i w:val="0"/>
          <w:sz w:val="21"/>
        </w:rPr>
        <w:t>What this experiment does not establish.</w:t>
      </w:r>
      <w:r>
        <w:rPr>
          <w:rFonts w:ascii="Times New Roman" w:hAnsi="Times New Roman"/>
          <w:b w:val="0"/>
          <w:i w:val="0"/>
          <w:sz w:val="21"/>
        </w:rPr>
        <w:t xml:space="preserve"> The </w:t>
      </w:r>
      <w:r>
        <w:rPr>
          <w:rFonts w:ascii="Times New Roman" w:hAnsi="Times New Roman"/>
          <w:b w:val="0"/>
          <w:i/>
          <w:sz w:val="21"/>
        </w:rPr>
        <w:t>strong</w:t>
      </w:r>
      <w:r>
        <w:rPr>
          <w:rFonts w:ascii="Times New Roman" w:hAnsi="Times New Roman"/>
          <w:b w:val="0"/>
          <w:i w:val="0"/>
          <w:sz w:val="21"/>
        </w:rPr>
        <w:t xml:space="preserve"> form of §5.1 — that cardinality alone outranks the synchronization axis — is </w:t>
      </w:r>
      <w:r>
        <w:rPr>
          <w:rFonts w:ascii="Times New Roman" w:hAnsi="Times New Roman"/>
          <w:b/>
          <w:i w:val="0"/>
          <w:sz w:val="21"/>
        </w:rPr>
        <w:t>not</w:t>
      </w:r>
      <w:r>
        <w:rPr>
          <w:rFonts w:ascii="Times New Roman" w:hAnsi="Times New Roman"/>
          <w:b w:val="0"/>
          <w:i w:val="0"/>
          <w:sz w:val="21"/>
        </w:rPr>
        <w:t xml:space="preserve"> resolved here: pure cardinality minus SYNC is +0.125 pp, 95% CI [−0.358, 0.607], agreeing in direction in only 4 of 8 runs (1.24×). §5.1's claim concerns CARD, the package, against SYNC, and that comparison stands on the eleven-run main batch; the present batch establishes what the package is made of, not a new ordering.</w:t>
      </w:r>
    </w:p>
    <w:p>
      <w:pPr>
        <w:jc w:val="both"/>
      </w:pPr>
      <w:r>
        <w:rPr>
          <w:rFonts w:ascii="Times New Roman" w:hAnsi="Times New Roman"/>
          <w:b/>
          <w:i w:val="0"/>
          <w:sz w:val="21"/>
        </w:rPr>
        <w:t>An unplanned demonstration of why the paired design matters.</w:t>
      </w:r>
      <w:r>
        <w:rPr>
          <w:rFonts w:ascii="Times New Roman" w:hAnsi="Times New Roman"/>
          <w:b w:val="0"/>
          <w:i w:val="0"/>
          <w:sz w:val="21"/>
        </w:rPr>
        <w:t xml:space="preserve"> One of the eight VMs (</w:t>
      </w:r>
      <w:r>
        <w:rPr>
          <w:rFonts w:ascii="Consolas" w:hAnsi="Consolas"/>
          <w:b w:val="0"/>
          <w:i w:val="0"/>
          <w:color w:val="8B1A1A"/>
          <w:sz w:val="17"/>
        </w:rPr>
        <w:t>run_06</w:t>
      </w:r>
      <w:r>
        <w:rPr>
          <w:rFonts w:ascii="Times New Roman" w:hAnsi="Times New Roman"/>
          <w:b w:val="0"/>
          <w:i w:val="0"/>
          <w:sz w:val="21"/>
        </w:rPr>
        <w:t>) returned absolute throughput about 30% below its peers across every configuration — a degraded or noisy instance of exactly the kind §2 warns about. Recomputing every contrast in Table 6 with that run excluded moves each by less than 0.05 pp, because the paired within-block ratio cancels a level shift that affects numerator and denominator alike. A design comparing absolute throughputs across instances would have been badly distorted by the same run.</w:t>
      </w:r>
    </w:p>
    <w:p>
      <w:pPr>
        <w:pStyle w:val="Heading1"/>
      </w:pPr>
      <w:r>
        <w:rPr>
          <w:rFonts w:ascii="Times New Roman" w:hAnsi="Times New Roman"/>
          <w:b/>
          <w:i w:val="0"/>
          <w:color w:val="000000"/>
          <w:sz w:val="32"/>
        </w:rPr>
        <w:t>6. Discussion and Implications</w:t>
      </w:r>
    </w:p>
    <w:p>
      <w:pPr>
        <w:jc w:val="both"/>
      </w:pPr>
      <w:r>
        <w:rPr>
          <w:rFonts w:ascii="Times New Roman" w:hAnsi="Times New Roman"/>
          <w:b/>
          <w:i w:val="0"/>
          <w:sz w:val="21"/>
        </w:rPr>
        <w:t>For engineers instrumenting a similar server.</w:t>
      </w:r>
      <w:r>
        <w:rPr>
          <w:rFonts w:ascii="Times New Roman" w:hAnsi="Times New Roman"/>
          <w:b w:val="0"/>
          <w:i w:val="0"/>
          <w:sz w:val="21"/>
        </w:rPr>
        <w:t xml:space="preserve"> Per-command telemetry costs at most ~2.2% here, so the question is rarely whether to instrument but how. Given that budget, the priority order implied by these results differs from the common one:</w:t>
      </w:r>
    </w:p>
    <w:p>
      <w:pPr>
        <w:pStyle w:val="ListNumber"/>
        <w:numPr>
          <w:ilvl w:val="0"/>
          <w:numId w:val="11"/>
        </w:numPr>
        <w:spacing w:after="80"/>
        <w:ind w:left="504"/>
      </w:pPr>
      <w:r>
        <w:rPr>
          <w:rFonts w:ascii="Times New Roman" w:hAnsi="Times New Roman"/>
          <w:b/>
          <w:i w:val="0"/>
          <w:sz w:val="21"/>
        </w:rPr>
        <w:t>Reduce metric key cardinality before optimizing the lock — above ~10³ labels.</w:t>
      </w:r>
      <w:r>
        <w:rPr>
          <w:rFonts w:ascii="Times New Roman" w:hAnsi="Times New Roman"/>
          <w:b w:val="0"/>
          <w:i w:val="0"/>
          <w:sz w:val="21"/>
        </w:rPr>
        <w:t xml:space="preserve"> The cardinality axis is worth 1.66× the synchronization axis at 8 cores and 4.5× at 4, and a sharded map with a high-cardinality label is slower than a global mutex with a low-cardinality one (§5.1). §5.4 shows this is the entry count itself rather than the key allocation bundled with it, and puts a threshold on the advice: below roughly a thousand live entries the server-side effect is indistinguishable from zero, so a team already holding label cardinality to the tens or low hundreds gains no throughput by shrinking it further. (The backend argument for bounding cardinality is a separate cost and unaffected.) Where cardinality is in the thousands and above, it is the larger producer-side cost and the two arguments point the same way.</w:t>
      </w:r>
    </w:p>
    <w:p>
      <w:pPr>
        <w:pStyle w:val="ListNumber"/>
        <w:numPr>
          <w:ilvl w:val="0"/>
          <w:numId w:val="11"/>
        </w:numPr>
        <w:spacing w:after="80"/>
        <w:ind w:left="504"/>
      </w:pPr>
      <w:r>
        <w:rPr>
          <w:rFonts w:ascii="Times New Roman" w:hAnsi="Times New Roman"/>
          <w:b/>
          <w:i w:val="0"/>
          <w:sz w:val="21"/>
        </w:rPr>
        <w:t>Choose the collector against the percentile you actually budget.</w:t>
      </w:r>
      <w:r>
        <w:rPr>
          <w:rFonts w:ascii="Times New Roman" w:hAnsi="Times New Roman"/>
          <w:b w:val="0"/>
          <w:i w:val="0"/>
          <w:sz w:val="21"/>
        </w:rPr>
        <w:t xml:space="preserve"> ThreadLocal is cheapest under every metric and is the default choice. If per-command histograms are required, HdrHistogram costs ~1.4% throughput — affordable — but it is the </w:t>
      </w:r>
      <w:r>
        <w:rPr>
          <w:rFonts w:ascii="Times New Roman" w:hAnsi="Times New Roman"/>
          <w:b w:val="0"/>
          <w:i/>
          <w:sz w:val="21"/>
        </w:rPr>
        <w:t>most</w:t>
      </w:r>
      <w:r>
        <w:rPr>
          <w:rFonts w:ascii="Times New Roman" w:hAnsi="Times New Roman"/>
          <w:b w:val="0"/>
          <w:i w:val="0"/>
          <w:sz w:val="21"/>
        </w:rPr>
        <w:t xml:space="preserve"> expensive strategy at p99 and the only one whose cost does not dilute under load (§5.3). On a latency-SLO service, that is the number to budget against, and a less frequent or cheaper merge is the thing to tune.</w:t>
      </w:r>
    </w:p>
    <w:p>
      <w:pPr>
        <w:pStyle w:val="ListNumber"/>
        <w:numPr>
          <w:ilvl w:val="0"/>
          <w:numId w:val="11"/>
        </w:numPr>
        <w:spacing w:after="80"/>
        <w:ind w:left="504"/>
      </w:pPr>
      <w:r>
        <w:rPr>
          <w:rFonts w:ascii="Times New Roman" w:hAnsi="Times New Roman"/>
          <w:b/>
          <w:i w:val="0"/>
          <w:sz w:val="21"/>
        </w:rPr>
        <w:t>Do not expect client load to reveal telemetry contention.</w:t>
      </w:r>
      <w:r>
        <w:rPr>
          <w:rFonts w:ascii="Times New Roman" w:hAnsi="Times New Roman"/>
          <w:b w:val="0"/>
          <w:i w:val="0"/>
          <w:sz w:val="21"/>
        </w:rPr>
        <w:t xml:space="preserve"> On a thread-pool server, contention is bounded by the pool. Scale the core count, not the client count (§5.2).</w:t>
      </w:r>
    </w:p>
    <w:p>
      <w:pPr>
        <w:jc w:val="both"/>
      </w:pPr>
      <w:r>
        <w:rPr>
          <w:rFonts w:ascii="Times New Roman" w:hAnsi="Times New Roman"/>
          <w:b/>
          <w:i w:val="0"/>
          <w:sz w:val="21"/>
        </w:rPr>
        <w:t>For performance engineers designing such a study.</w:t>
      </w:r>
      <w:r>
        <w:rPr>
          <w:rFonts w:ascii="Times New Roman" w:hAnsi="Times New Roman"/>
          <w:b w:val="0"/>
          <w:i w:val="0"/>
          <w:sz w:val="21"/>
        </w:rPr>
        <w:t xml:space="preserve"> Three transferable points. </w:t>
      </w:r>
      <w:r>
        <w:rPr>
          <w:rFonts w:ascii="Times New Roman" w:hAnsi="Times New Roman"/>
          <w:b w:val="0"/>
          <w:i/>
          <w:sz w:val="21"/>
        </w:rPr>
        <w:t>First</w:t>
      </w:r>
      <w:r>
        <w:rPr>
          <w:rFonts w:ascii="Times New Roman" w:hAnsi="Times New Roman"/>
          <w:b w:val="0"/>
          <w:i w:val="0"/>
          <w:sz w:val="21"/>
        </w:rPr>
        <w:t xml:space="preserve">, compare designs along axes, not as bundles: a ranking of five strategies is five facts, while a decomposition into four axes is a model that predicts configurations never measured — and here the decomposition, not the ranking, produced every result. </w:t>
      </w:r>
      <w:r>
        <w:rPr>
          <w:rFonts w:ascii="Times New Roman" w:hAnsi="Times New Roman"/>
          <w:b w:val="0"/>
          <w:i/>
          <w:sz w:val="21"/>
        </w:rPr>
        <w:t>Second</w:t>
      </w:r>
      <w:r>
        <w:rPr>
          <w:rFonts w:ascii="Times New Roman" w:hAnsi="Times New Roman"/>
          <w:b w:val="0"/>
          <w:i w:val="0"/>
          <w:sz w:val="21"/>
        </w:rPr>
        <w:t xml:space="preserve">, report against more than one budget metric; §5.3 is a worked case where a single-metric evaluation reports a confident null for a genuine sign reversal, which is worse than low power. </w:t>
      </w:r>
      <w:r>
        <w:rPr>
          <w:rFonts w:ascii="Times New Roman" w:hAnsi="Times New Roman"/>
          <w:b w:val="0"/>
          <w:i/>
          <w:sz w:val="21"/>
        </w:rPr>
        <w:t>Third</w:t>
      </w:r>
      <w:r>
        <w:rPr>
          <w:rFonts w:ascii="Times New Roman" w:hAnsi="Times New Roman"/>
          <w:b w:val="0"/>
          <w:i w:val="0"/>
          <w:sz w:val="21"/>
        </w:rPr>
        <w:t>, when pooling independent cloud instances, cluster the inference on instances: the 165 blocks here are 11 runs, and treating them as independent overstates precision by roughly 20%.</w:t>
      </w:r>
    </w:p>
    <w:p>
      <w:pPr>
        <w:spacing w:before="40" w:after="160"/>
        <w:pBdr>
          <w:bottom w:val="single" w:sz="6" w:space="1" w:color="AAAAAA"/>
        </w:pBdr>
      </w:pPr>
    </w:p>
    <w:p>
      <w:pPr>
        <w:pStyle w:val="Heading1"/>
      </w:pPr>
      <w:r>
        <w:rPr>
          <w:rFonts w:ascii="Times New Roman" w:hAnsi="Times New Roman"/>
          <w:b/>
          <w:i w:val="0"/>
          <w:color w:val="000000"/>
          <w:sz w:val="32"/>
        </w:rPr>
        <w:t>7. Threats to Validity</w:t>
      </w:r>
    </w:p>
    <w:p>
      <w:pPr>
        <w:jc w:val="both"/>
      </w:pPr>
      <w:r>
        <w:rPr>
          <w:rFonts w:ascii="Times New Roman" w:hAnsi="Times New Roman"/>
          <w:b/>
          <w:i w:val="0"/>
          <w:sz w:val="21"/>
        </w:rPr>
        <w:t>Internal.</w:t>
      </w:r>
      <w:r>
        <w:rPr>
          <w:rFonts w:ascii="Times New Roman" w:hAnsi="Times New Roman"/>
          <w:b w:val="0"/>
          <w:i w:val="0"/>
          <w:sz w:val="21"/>
        </w:rPr>
        <w:t xml:space="preserve"> Contrast purity (§3.3) was the principal threat: CARD and PAYLOAD each bundle an owned-key allocation with the axis they name. §5.4 resolves it with a dedicated eight-run experiment — the entry count accounts for essentially all of CARD, and the histogram for about 80% of PAYLOAD — so both bundles are dominated by the axis they are named for. What remains open from that experiment is narrower and stated there: the owned-key allocation term in the TLS path is not resolved (0.195 pp, CI spanning zero), and the pure cardinality effect is indistinguishable from zero below roughly 10³ entries, so the CARD magnitude reported in §5.1 should be read as specific to a ~10⁴-entry label, not as a general per-entry rate.</w:t>
      </w:r>
    </w:p>
    <w:p>
      <w:pPr>
        <w:jc w:val="both"/>
      </w:pPr>
      <w:r>
        <w:rPr>
          <w:rFonts w:ascii="Times New Roman" w:hAnsi="Times New Roman"/>
          <w:b w:val="0"/>
          <w:i w:val="0"/>
          <w:sz w:val="21"/>
        </w:rPr>
        <w:t xml:space="preserve">Conversely, the SYNC axis is inflated by </w:t>
      </w:r>
      <w:r>
        <w:rPr>
          <w:rFonts w:ascii="Consolas" w:hAnsi="Consolas"/>
          <w:b w:val="0"/>
          <w:i w:val="0"/>
          <w:color w:val="8B1A1A"/>
          <w:sz w:val="17"/>
        </w:rPr>
        <w:t>global_mutex</w:t>
      </w:r>
      <w:r>
        <w:rPr>
          <w:rFonts w:ascii="Times New Roman" w:hAnsi="Times New Roman"/>
          <w:b w:val="0"/>
          <w:i w:val="0"/>
          <w:sz w:val="21"/>
        </w:rPr>
        <w:t xml:space="preserve">'s self-instrumentation (two </w:t>
      </w:r>
      <w:r>
        <w:rPr>
          <w:rFonts w:ascii="Consolas" w:hAnsi="Consolas"/>
          <w:b w:val="0"/>
          <w:i w:val="0"/>
          <w:color w:val="8B1A1A"/>
          <w:sz w:val="17"/>
        </w:rPr>
        <w:t>Instant</w:t>
      </w:r>
      <w:r>
        <w:rPr>
          <w:rFonts w:ascii="Times New Roman" w:hAnsi="Times New Roman"/>
          <w:b w:val="0"/>
          <w:i w:val="0"/>
          <w:sz w:val="21"/>
        </w:rPr>
        <w:t xml:space="preserve"> reads and a contended atomic per operation), which biases </w:t>
      </w:r>
      <w:r>
        <w:rPr>
          <w:rFonts w:ascii="Times New Roman" w:hAnsi="Times New Roman"/>
          <w:b w:val="0"/>
          <w:i/>
          <w:sz w:val="21"/>
        </w:rPr>
        <w:t>against</w:t>
      </w:r>
      <w:r>
        <w:rPr>
          <w:rFonts w:ascii="Times New Roman" w:hAnsi="Times New Roman"/>
          <w:b w:val="0"/>
          <w:i w:val="0"/>
          <w:sz w:val="21"/>
        </w:rPr>
        <w:t xml:space="preserve"> the paper's headline claim; the claim therefore survives this confound rather than depending on it. §5.1's claim is about CARD — the package an engineer actually adopts when they label by a dynamic value — versus SYNC. The stronger statement that cardinality </w:t>
      </w:r>
      <w:r>
        <w:rPr>
          <w:rFonts w:ascii="Times New Roman" w:hAnsi="Times New Roman"/>
          <w:b w:val="0"/>
          <w:i/>
          <w:sz w:val="21"/>
        </w:rPr>
        <w:t>alone</w:t>
      </w:r>
      <w:r>
        <w:rPr>
          <w:rFonts w:ascii="Times New Roman" w:hAnsi="Times New Roman"/>
          <w:b w:val="0"/>
          <w:i w:val="0"/>
          <w:sz w:val="21"/>
        </w:rPr>
        <w:t xml:space="preserve"> outranks the synchronization axis is </w:t>
      </w:r>
      <w:r>
        <w:rPr>
          <w:rFonts w:ascii="Times New Roman" w:hAnsi="Times New Roman"/>
          <w:b/>
          <w:i w:val="0"/>
          <w:sz w:val="21"/>
        </w:rPr>
        <w:t>not</w:t>
      </w:r>
      <w:r>
        <w:rPr>
          <w:rFonts w:ascii="Times New Roman" w:hAnsi="Times New Roman"/>
          <w:b w:val="0"/>
          <w:i w:val="0"/>
          <w:sz w:val="21"/>
        </w:rPr>
        <w:t xml:space="preserve"> supported: §5.4 puts that difference at +0.125 pp with an interval spanning zero. We make the package claim and not the stronger one.</w:t>
      </w:r>
    </w:p>
    <w:p>
      <w:pPr>
        <w:jc w:val="both"/>
      </w:pPr>
      <w:r>
        <w:rPr>
          <w:rFonts w:ascii="Times New Roman" w:hAnsi="Times New Roman"/>
          <w:b w:val="0"/>
          <w:i w:val="0"/>
          <w:sz w:val="21"/>
        </w:rPr>
        <w:t>The §5.3 merge-stall mechanism is an interpretation consistent with the data, not a measurement; direct instrumentation of flush duration would test it.</w:t>
      </w:r>
    </w:p>
    <w:p>
      <w:pPr>
        <w:jc w:val="both"/>
      </w:pPr>
      <w:r>
        <w:rPr>
          <w:rFonts w:ascii="Times New Roman" w:hAnsi="Times New Roman"/>
          <w:b/>
          <w:i w:val="0"/>
          <w:sz w:val="21"/>
        </w:rPr>
        <w:t>Construct.</w:t>
      </w:r>
      <w:r>
        <w:rPr>
          <w:rFonts w:ascii="Times New Roman" w:hAnsi="Times New Roman"/>
          <w:b w:val="0"/>
          <w:i w:val="0"/>
          <w:sz w:val="21"/>
        </w:rPr>
        <w:t xml:space="preserve"> The benchmark client is custom, not YCSB [6], so absolute throughputs are not comparable to published YCSB results; the paired within-block ratios are unaffected, since every strategy is compared against a </w:t>
      </w:r>
      <w:r>
        <w:rPr>
          <w:rFonts w:ascii="Consolas" w:hAnsi="Consolas"/>
          <w:b w:val="0"/>
          <w:i w:val="0"/>
          <w:color w:val="8B1A1A"/>
          <w:sz w:val="17"/>
        </w:rPr>
        <w:t>disabled</w:t>
      </w:r>
      <w:r>
        <w:rPr>
          <w:rFonts w:ascii="Times New Roman" w:hAnsi="Times New Roman"/>
          <w:b w:val="0"/>
          <w:i w:val="0"/>
          <w:sz w:val="21"/>
        </w:rPr>
        <w:t xml:space="preserve"> baseline measured by the same client. Client and server share a machine, so at the highest concurrencies this is a thread-oversubscription stress test rather than an isolated server measurement — which strengthens rather than weakens §5.2's negative result, since co-location should if anything amplify any concurrency-dependence of overhead. The server is restarted per run, but OS state (page cache, socket buffers, port reuse) carries over.</w:t>
      </w:r>
    </w:p>
    <w:p>
      <w:pPr>
        <w:jc w:val="both"/>
      </w:pPr>
      <w:r>
        <w:rPr>
          <w:rFonts w:ascii="Times New Roman" w:hAnsi="Times New Roman"/>
          <w:b/>
          <w:i w:val="0"/>
          <w:sz w:val="21"/>
        </w:rPr>
        <w:t>External.</w:t>
      </w:r>
      <w:r>
        <w:rPr>
          <w:rFonts w:ascii="Times New Roman" w:hAnsi="Times New Roman"/>
          <w:b w:val="0"/>
          <w:i w:val="0"/>
          <w:sz w:val="21"/>
        </w:rPr>
        <w:t xml:space="preserve"> Both VM sizes are the same Azure family and x86-64 image, so they replicate across size, region, and workload but not across hardware families, architectures, or clouds. The worker-count comparison rests on </w:t>
      </w:r>
      <w:r>
        <w:rPr>
          <w:rFonts w:ascii="Times New Roman" w:hAnsi="Times New Roman"/>
          <w:b/>
          <w:i w:val="0"/>
          <w:sz w:val="21"/>
        </w:rPr>
        <w:t>two</w:t>
      </w:r>
      <w:r>
        <w:rPr>
          <w:rFonts w:ascii="Times New Roman" w:hAnsi="Times New Roman"/>
          <w:b w:val="0"/>
          <w:i w:val="0"/>
          <w:sz w:val="21"/>
        </w:rPr>
        <w:t xml:space="preserve"> points (4 and 8) that differ in VM size, region mix, and measurement date, so it is a direction-of-effect observation, not a scaling law. It is further limited by an artifact of the D4s_v6 run: a logging bug recorded a placeholder processor string in that run's metadata, so while all eleven D8s_v6 runs verifiably share one CPU model (Intel Xeon Platinum 8573C), we cannot confirm from the artifact that the 4-vCPU VM used the same microarchitecture. A microarchitectural difference would confound the SYNC growth we attribute to worker count; the crossover extrapolation in §5.2 is explicitly a hypothesis. Nothing here is claimed for NUMA systems, substantially higher core counts, or non-x86 architectures. The cardinality result is measured at one high-cardinality point (~10⁴ over a 10,000-key workload); the shape of the curve between 2 and 10⁴ is not measured.</w:t>
      </w:r>
    </w:p>
    <w:p>
      <w:pPr>
        <w:jc w:val="both"/>
      </w:pPr>
      <w:r>
        <w:rPr>
          <w:rFonts w:ascii="Times New Roman" w:hAnsi="Times New Roman"/>
          <w:b/>
          <w:i w:val="0"/>
          <w:sz w:val="21"/>
        </w:rPr>
        <w:t>Statistical.</w:t>
      </w:r>
      <w:r>
        <w:rPr>
          <w:rFonts w:ascii="Times New Roman" w:hAnsi="Times New Roman"/>
          <w:b w:val="0"/>
          <w:i w:val="0"/>
          <w:sz w:val="21"/>
        </w:rPr>
        <w:t xml:space="preserve"> This design resolves paired effects of roughly 0.6–0.75% (cluster-aware and injected-effect estimates agree); the PAYLOAD-versus-CARD gap (0.02 pp) is far below that floor and no ordering between them is claimed. The eleven runs support cluster-aware </w:t>
      </w:r>
      <w:r>
        <w:rPr>
          <w:rFonts w:ascii="Times New Roman" w:hAnsi="Times New Roman"/>
          <w:b w:val="0"/>
          <w:i/>
          <w:sz w:val="21"/>
        </w:rPr>
        <w:t>t</w:t>
      </w:r>
      <w:r>
        <w:rPr>
          <w:rFonts w:ascii="Times New Roman" w:hAnsi="Times New Roman"/>
          <w:b w:val="0"/>
          <w:i w:val="0"/>
          <w:sz w:val="21"/>
        </w:rPr>
        <w:t>-intervals with 10 degrees of freedom, which are wide; the sign tests are exact and distribution-free, and we report both. We ran no live A/A experiment; false-positive calibration comes from a resampling-based simulated null, which validates the test but not the end-to-end procedure. Pooling more runs did not uniformly tighten every statistic — a raw-throughput CI width widened with the eleventh run — a reminder that between-run variance is real and that "more data helps" is a claim about a specific estimator.</w:t>
      </w:r>
    </w:p>
    <w:p>
      <w:pPr>
        <w:spacing w:before="40" w:after="160"/>
        <w:pBdr>
          <w:bottom w:val="single" w:sz="6" w:space="1" w:color="AAAAAA"/>
        </w:pBdr>
      </w:pPr>
    </w:p>
    <w:p>
      <w:pPr>
        <w:pStyle w:val="Heading1"/>
      </w:pPr>
      <w:r>
        <w:rPr>
          <w:rFonts w:ascii="Times New Roman" w:hAnsi="Times New Roman"/>
          <w:b/>
          <w:i w:val="0"/>
          <w:color w:val="000000"/>
          <w:sz w:val="32"/>
        </w:rPr>
        <w:t>8. Conclusion</w:t>
      </w:r>
    </w:p>
    <w:p>
      <w:pPr>
        <w:jc w:val="both"/>
      </w:pPr>
      <w:r>
        <w:rPr>
          <w:rFonts w:ascii="Times New Roman" w:hAnsi="Times New Roman"/>
          <w:b w:val="0"/>
          <w:i w:val="0"/>
          <w:sz w:val="21"/>
        </w:rPr>
        <w:t>We decomposed per-command observability overhead in a concurrent in-memory key-value store into four separately-priced design axes, measured across 29,520 RMIT benchmark runs on fourteen dedicated cloud VMs with inference clustered on independent runs. The decomposition contradicts the standard optimization priority: the metric-cardinality axis costs 1.66× the synchronization axis at 8 worker threads and 4.5× at 4, so a sharded concurrent map carrying a high-cardinality label is measurably slower than a single global mutex carrying a low-cardinality one. It also shows that these costs answer to different variables — no axis responds to a 30× increase in client concurrency on a thoroughly saturated server, while the synchronization axis grows 2.6× with a doubling of worker threads — so the client-load knob that benchmarks conventionally turn cannot expose telemetry contention on a thread-pool architecture. Finally, overhead proves not to be a single number: counter costs are elastic and largely vanish into queueing slack at the tail, whereas histogram-payload cost is rigid and statistically identical at the median and at p99. That difference produces a sign reversal which a throughput-only evaluation reports as a confident null.</w:t>
      </w:r>
    </w:p>
    <w:p>
      <w:pPr>
        <w:jc w:val="both"/>
      </w:pPr>
      <w:r>
        <w:rPr>
          <w:rFonts w:ascii="Times New Roman" w:hAnsi="Times New Roman"/>
          <w:b w:val="0"/>
          <w:i w:val="0"/>
          <w:sz w:val="21"/>
        </w:rPr>
        <w:t>A separate eight-VM experiment settles what the cardinality axis is actually made of. Using a collector whose per-operation work is held byte-for-byte constant while the live entry count sweeps 3.5 decades, the entry count is shown to account for essentially all of the axis, and the histogram for about 80% of the payload axis — so both bundles are dominated by the axis they are named for. The same experiment marks the boundary of the result: the effect is indistinguishable from zero below roughly 10³ entries, and cardinality alone does not statistically outrank the synchronization axis, so the claim we make is about high-cardinality labeling as a package, which is the thing an engineer actually adopts.</w:t>
      </w:r>
    </w:p>
    <w:p>
      <w:pPr>
        <w:jc w:val="both"/>
      </w:pPr>
      <w:r>
        <w:rPr>
          <w:rFonts w:ascii="Times New Roman" w:hAnsi="Times New Roman"/>
          <w:b w:val="0"/>
          <w:i w:val="0"/>
          <w:sz w:val="21"/>
        </w:rPr>
        <w:t>The unifying claim is that observability overhead should be budgeted per design axis and per target percentile. A single headline percentage, measured under a single metric at a single client load, can be simultaneously accurate and useless for the decision it is meant to inform. The natural next steps are to instrument the histogram merge directly, to test whether the axes keep their separate scaling laws past eight cores, and to check whether the ~10³-entry threshold is a property of this server or of the class.</w:t>
      </w:r>
    </w:p>
    <w:p>
      <w:pPr>
        <w:spacing w:before="40" w:after="160"/>
        <w:pBdr>
          <w:bottom w:val="single" w:sz="6" w:space="1" w:color="AAAAAA"/>
        </w:pBdr>
      </w:pPr>
    </w:p>
    <w:p>
      <w:pPr>
        <w:pStyle w:val="Heading1"/>
      </w:pPr>
      <w:r>
        <w:rPr>
          <w:rFonts w:ascii="Times New Roman" w:hAnsi="Times New Roman"/>
          <w:b/>
          <w:i w:val="0"/>
          <w:color w:val="000000"/>
          <w:sz w:val="32"/>
        </w:rPr>
        <w:t>References</w:t>
      </w:r>
    </w:p>
    <w:p>
      <w:pPr>
        <w:pStyle w:val="ListNumber"/>
        <w:numPr>
          <w:ilvl w:val="0"/>
          <w:numId w:val="12"/>
        </w:numPr>
        <w:spacing w:after="80"/>
        <w:ind w:left="504"/>
      </w:pPr>
      <w:r>
        <w:rPr>
          <w:rFonts w:ascii="Times New Roman" w:hAnsi="Times New Roman"/>
          <w:b w:val="0"/>
          <w:i w:val="0"/>
          <w:sz w:val="21"/>
        </w:rPr>
        <w:t xml:space="preserve">Abedi, A. and Brecht, T. (2017). Conducting Repeatable Experiments in Highly Variable Cloud Computing Environments. </w:t>
      </w:r>
      <w:r>
        <w:rPr>
          <w:rFonts w:ascii="Times New Roman" w:hAnsi="Times New Roman"/>
          <w:b w:val="0"/>
          <w:i/>
          <w:sz w:val="21"/>
        </w:rPr>
        <w:t>ICPE '17</w:t>
      </w:r>
      <w:r>
        <w:rPr>
          <w:rFonts w:ascii="Times New Roman" w:hAnsi="Times New Roman"/>
          <w:b w:val="0"/>
          <w:i w:val="0"/>
          <w:sz w:val="21"/>
        </w:rPr>
        <w:t>, 287–292.</w:t>
      </w:r>
    </w:p>
    <w:p>
      <w:pPr>
        <w:pStyle w:val="ListNumber"/>
        <w:numPr>
          <w:ilvl w:val="0"/>
          <w:numId w:val="12"/>
        </w:numPr>
        <w:spacing w:after="80"/>
        <w:ind w:left="504"/>
      </w:pPr>
      <w:r>
        <w:rPr>
          <w:rFonts w:ascii="Times New Roman" w:hAnsi="Times New Roman"/>
          <w:b w:val="0"/>
          <w:i w:val="0"/>
          <w:sz w:val="21"/>
        </w:rPr>
        <w:t xml:space="preserve">Abedi, A., Heard, A., and Brecht, T. (2015). Conducting Repeatable Experiments and Fair Comparisons using 802.11n MIMO Networks. </w:t>
      </w:r>
      <w:r>
        <w:rPr>
          <w:rFonts w:ascii="Times New Roman" w:hAnsi="Times New Roman"/>
          <w:b w:val="0"/>
          <w:i/>
          <w:sz w:val="21"/>
        </w:rPr>
        <w:t>ACM SIGOPS Operating Systems Review</w:t>
      </w:r>
      <w:r>
        <w:rPr>
          <w:rFonts w:ascii="Times New Roman" w:hAnsi="Times New Roman"/>
          <w:b w:val="0"/>
          <w:i w:val="0"/>
          <w:sz w:val="21"/>
        </w:rPr>
        <w:t>, 49(1), 41–50.</w:t>
      </w:r>
    </w:p>
    <w:p>
      <w:pPr>
        <w:pStyle w:val="ListNumber"/>
        <w:numPr>
          <w:ilvl w:val="0"/>
          <w:numId w:val="12"/>
        </w:numPr>
        <w:spacing w:after="80"/>
        <w:ind w:left="504"/>
      </w:pPr>
      <w:r>
        <w:rPr>
          <w:rFonts w:ascii="Times New Roman" w:hAnsi="Times New Roman"/>
          <w:b w:val="0"/>
          <w:i w:val="0"/>
          <w:sz w:val="21"/>
        </w:rPr>
        <w:t xml:space="preserve">Aspnes, J., Herlihy, M., and Shavit, N. (1994). Counting Networks. </w:t>
      </w:r>
      <w:r>
        <w:rPr>
          <w:rFonts w:ascii="Times New Roman" w:hAnsi="Times New Roman"/>
          <w:b w:val="0"/>
          <w:i/>
          <w:sz w:val="21"/>
        </w:rPr>
        <w:t>Journal of the ACM</w:t>
      </w:r>
      <w:r>
        <w:rPr>
          <w:rFonts w:ascii="Times New Roman" w:hAnsi="Times New Roman"/>
          <w:b w:val="0"/>
          <w:i w:val="0"/>
          <w:sz w:val="21"/>
        </w:rPr>
        <w:t>, 41(5), 1020–1048.</w:t>
      </w:r>
    </w:p>
    <w:p>
      <w:pPr>
        <w:pStyle w:val="ListNumber"/>
        <w:numPr>
          <w:ilvl w:val="0"/>
          <w:numId w:val="12"/>
        </w:numPr>
        <w:spacing w:after="80"/>
        <w:ind w:left="504"/>
      </w:pPr>
      <w:r>
        <w:rPr>
          <w:rFonts w:ascii="Times New Roman" w:hAnsi="Times New Roman"/>
          <w:b w:val="0"/>
          <w:i w:val="0"/>
          <w:sz w:val="21"/>
        </w:rPr>
        <w:t xml:space="preserve">Boyd-Wickizer, S., Clements, A. T., Mao, Y., Pesterev, A., Kaashoek, M. F., Morris, R., and Zeldovich, N. (2010). An Analysis of Linux Scalability to Many Cores. </w:t>
      </w:r>
      <w:r>
        <w:rPr>
          <w:rFonts w:ascii="Times New Roman" w:hAnsi="Times New Roman"/>
          <w:b w:val="0"/>
          <w:i/>
          <w:sz w:val="21"/>
        </w:rPr>
        <w:t>OSDI '10</w:t>
      </w:r>
      <w:r>
        <w:rPr>
          <w:rFonts w:ascii="Times New Roman" w:hAnsi="Times New Roman"/>
          <w:b w:val="0"/>
          <w:i w:val="0"/>
          <w:sz w:val="21"/>
        </w:rPr>
        <w:t>.</w:t>
      </w:r>
    </w:p>
    <w:p>
      <w:pPr>
        <w:pStyle w:val="ListNumber"/>
        <w:numPr>
          <w:ilvl w:val="0"/>
          <w:numId w:val="12"/>
        </w:numPr>
        <w:spacing w:after="80"/>
        <w:ind w:left="504"/>
      </w:pPr>
      <w:r>
        <w:rPr>
          <w:rFonts w:ascii="Times New Roman" w:hAnsi="Times New Roman"/>
          <w:b w:val="0"/>
          <w:i w:val="0"/>
          <w:sz w:val="21"/>
        </w:rPr>
        <w:t xml:space="preserve">Bulej, L., Horký, V., Tůma, P., Farquet, F., and Prokopec, A. (2020). Duet Benchmarking: Improving Measurement Accuracy in the Cloud. </w:t>
      </w:r>
      <w:r>
        <w:rPr>
          <w:rFonts w:ascii="Times New Roman" w:hAnsi="Times New Roman"/>
          <w:b w:val="0"/>
          <w:i/>
          <w:sz w:val="21"/>
        </w:rPr>
        <w:t>ICPE '20</w:t>
      </w:r>
      <w:r>
        <w:rPr>
          <w:rFonts w:ascii="Times New Roman" w:hAnsi="Times New Roman"/>
          <w:b w:val="0"/>
          <w:i w:val="0"/>
          <w:sz w:val="21"/>
        </w:rPr>
        <w:t>, 100–107.</w:t>
      </w:r>
    </w:p>
    <w:p>
      <w:pPr>
        <w:pStyle w:val="ListNumber"/>
        <w:numPr>
          <w:ilvl w:val="0"/>
          <w:numId w:val="12"/>
        </w:numPr>
        <w:spacing w:after="80"/>
        <w:ind w:left="504"/>
      </w:pPr>
      <w:r>
        <w:rPr>
          <w:rFonts w:ascii="Times New Roman" w:hAnsi="Times New Roman"/>
          <w:b w:val="0"/>
          <w:i w:val="0"/>
          <w:sz w:val="21"/>
        </w:rPr>
        <w:t xml:space="preserve">Cooper, B. F., Silberstein, A., Tam, E., Ramakrishnan, R., and Sears, R. (2010). Benchmarking Cloud Serving Systems with YCSB. </w:t>
      </w:r>
      <w:r>
        <w:rPr>
          <w:rFonts w:ascii="Times New Roman" w:hAnsi="Times New Roman"/>
          <w:b w:val="0"/>
          <w:i/>
          <w:sz w:val="21"/>
        </w:rPr>
        <w:t>SoCC '10</w:t>
      </w:r>
      <w:r>
        <w:rPr>
          <w:rFonts w:ascii="Times New Roman" w:hAnsi="Times New Roman"/>
          <w:b w:val="0"/>
          <w:i w:val="0"/>
          <w:sz w:val="21"/>
        </w:rPr>
        <w:t>, 143–154.</w:t>
      </w:r>
    </w:p>
    <w:p>
      <w:pPr>
        <w:pStyle w:val="ListNumber"/>
        <w:numPr>
          <w:ilvl w:val="0"/>
          <w:numId w:val="12"/>
        </w:numPr>
        <w:spacing w:after="80"/>
        <w:ind w:left="504"/>
      </w:pPr>
      <w:r>
        <w:rPr>
          <w:rFonts w:ascii="Times New Roman" w:hAnsi="Times New Roman"/>
          <w:b w:val="0"/>
          <w:i w:val="0"/>
          <w:sz w:val="21"/>
        </w:rPr>
        <w:t xml:space="preserve">Curtsinger, C. and Berger, E. D. (2013). STABILIZER: Statistically Sound Performance Evaluation. </w:t>
      </w:r>
      <w:r>
        <w:rPr>
          <w:rFonts w:ascii="Times New Roman" w:hAnsi="Times New Roman"/>
          <w:b w:val="0"/>
          <w:i/>
          <w:sz w:val="21"/>
        </w:rPr>
        <w:t>ASPLOS '13</w:t>
      </w:r>
      <w:r>
        <w:rPr>
          <w:rFonts w:ascii="Times New Roman" w:hAnsi="Times New Roman"/>
          <w:b w:val="0"/>
          <w:i w:val="0"/>
          <w:sz w:val="21"/>
        </w:rPr>
        <w:t>, 219–228.</w:t>
      </w:r>
    </w:p>
    <w:p>
      <w:pPr>
        <w:pStyle w:val="ListNumber"/>
        <w:numPr>
          <w:ilvl w:val="0"/>
          <w:numId w:val="12"/>
        </w:numPr>
        <w:spacing w:after="80"/>
        <w:ind w:left="504"/>
      </w:pPr>
      <w:r>
        <w:rPr>
          <w:rFonts w:ascii="Times New Roman" w:hAnsi="Times New Roman"/>
          <w:b w:val="0"/>
          <w:i w:val="0"/>
          <w:sz w:val="21"/>
        </w:rPr>
        <w:t xml:space="preserve">David, T., Guerraoui, R., and Trigonakis, V. (2013). Everything You Always Wanted to Know About Synchronization but Were Afraid to Ask. </w:t>
      </w:r>
      <w:r>
        <w:rPr>
          <w:rFonts w:ascii="Times New Roman" w:hAnsi="Times New Roman"/>
          <w:b w:val="0"/>
          <w:i/>
          <w:sz w:val="21"/>
        </w:rPr>
        <w:t>SOSP '13</w:t>
      </w:r>
      <w:r>
        <w:rPr>
          <w:rFonts w:ascii="Times New Roman" w:hAnsi="Times New Roman"/>
          <w:b w:val="0"/>
          <w:i w:val="0"/>
          <w:sz w:val="21"/>
        </w:rPr>
        <w:t>, 33–48.</w:t>
      </w:r>
    </w:p>
    <w:p>
      <w:pPr>
        <w:pStyle w:val="ListNumber"/>
        <w:numPr>
          <w:ilvl w:val="0"/>
          <w:numId w:val="12"/>
        </w:numPr>
        <w:spacing w:after="80"/>
        <w:ind w:left="504"/>
      </w:pPr>
      <w:r>
        <w:rPr>
          <w:rFonts w:ascii="Times New Roman" w:hAnsi="Times New Roman"/>
          <w:b w:val="0"/>
          <w:i w:val="0"/>
          <w:sz w:val="21"/>
        </w:rPr>
        <w:t xml:space="preserve">Fan, B., Andersen, D. G., and Kaminsky, M. (2013). MemC3: Compact and Concurrent MemCache with Dumber Caching and Smarter Hashing. </w:t>
      </w:r>
      <w:r>
        <w:rPr>
          <w:rFonts w:ascii="Times New Roman" w:hAnsi="Times New Roman"/>
          <w:b w:val="0"/>
          <w:i/>
          <w:sz w:val="21"/>
        </w:rPr>
        <w:t>NSDI '13</w:t>
      </w:r>
      <w:r>
        <w:rPr>
          <w:rFonts w:ascii="Times New Roman" w:hAnsi="Times New Roman"/>
          <w:b w:val="0"/>
          <w:i w:val="0"/>
          <w:sz w:val="21"/>
        </w:rPr>
        <w:t>, 371–384.</w:t>
      </w:r>
    </w:p>
    <w:p>
      <w:pPr>
        <w:pStyle w:val="ListNumber"/>
        <w:numPr>
          <w:ilvl w:val="0"/>
          <w:numId w:val="12"/>
        </w:numPr>
        <w:spacing w:after="80"/>
        <w:ind w:left="504"/>
      </w:pPr>
      <w:r>
        <w:rPr>
          <w:rFonts w:ascii="Times New Roman" w:hAnsi="Times New Roman"/>
          <w:b w:val="0"/>
          <w:i w:val="0"/>
          <w:sz w:val="21"/>
        </w:rPr>
        <w:t xml:space="preserve">Fruth, M., Scherzinger, S., Mauerer, W., and Ramsauer, R. (2021). Tell-Tale Tail Latencies: Pitfalls and Perils in Database Benchmarking. </w:t>
      </w:r>
      <w:r>
        <w:rPr>
          <w:rFonts w:ascii="Times New Roman" w:hAnsi="Times New Roman"/>
          <w:b w:val="0"/>
          <w:i/>
          <w:sz w:val="21"/>
        </w:rPr>
        <w:t>TPCTC 2021</w:t>
      </w:r>
      <w:r>
        <w:rPr>
          <w:rFonts w:ascii="Times New Roman" w:hAnsi="Times New Roman"/>
          <w:b w:val="0"/>
          <w:i w:val="0"/>
          <w:sz w:val="21"/>
        </w:rPr>
        <w:t>, LNCS 13169, 119–134.</w:t>
      </w:r>
    </w:p>
    <w:p>
      <w:pPr>
        <w:pStyle w:val="ListNumber"/>
        <w:numPr>
          <w:ilvl w:val="0"/>
          <w:numId w:val="12"/>
        </w:numPr>
        <w:spacing w:after="80"/>
        <w:ind w:left="504"/>
      </w:pPr>
      <w:r>
        <w:rPr>
          <w:rFonts w:ascii="Times New Roman" w:hAnsi="Times New Roman"/>
          <w:b w:val="0"/>
          <w:i w:val="0"/>
          <w:sz w:val="21"/>
        </w:rPr>
        <w:t xml:space="preserve">Georges, A., Buytaert, D., and Eeckhout, L. (2007). Statistically Rigorous Java Performance Evaluation. </w:t>
      </w:r>
      <w:r>
        <w:rPr>
          <w:rFonts w:ascii="Times New Roman" w:hAnsi="Times New Roman"/>
          <w:b w:val="0"/>
          <w:i/>
          <w:sz w:val="21"/>
        </w:rPr>
        <w:t>OOPSLA '07</w:t>
      </w:r>
      <w:r>
        <w:rPr>
          <w:rFonts w:ascii="Times New Roman" w:hAnsi="Times New Roman"/>
          <w:b w:val="0"/>
          <w:i w:val="0"/>
          <w:sz w:val="21"/>
        </w:rPr>
        <w:t>, 57–76.</w:t>
      </w:r>
    </w:p>
    <w:p>
      <w:pPr>
        <w:pStyle w:val="ListNumber"/>
        <w:numPr>
          <w:ilvl w:val="0"/>
          <w:numId w:val="12"/>
        </w:numPr>
        <w:spacing w:after="80"/>
        <w:ind w:left="504"/>
      </w:pPr>
      <w:r>
        <w:rPr>
          <w:rFonts w:ascii="Times New Roman" w:hAnsi="Times New Roman"/>
          <w:b w:val="0"/>
          <w:i w:val="0"/>
          <w:sz w:val="21"/>
        </w:rPr>
        <w:t xml:space="preserve">Kalibera, T. and Jones, R. E. (2013). Rigorous Benchmarking in Reasonable Time. </w:t>
      </w:r>
      <w:r>
        <w:rPr>
          <w:rFonts w:ascii="Times New Roman" w:hAnsi="Times New Roman"/>
          <w:b w:val="0"/>
          <w:i/>
          <w:sz w:val="21"/>
        </w:rPr>
        <w:t>ISMM '13</w:t>
      </w:r>
      <w:r>
        <w:rPr>
          <w:rFonts w:ascii="Times New Roman" w:hAnsi="Times New Roman"/>
          <w:b w:val="0"/>
          <w:i w:val="0"/>
          <w:sz w:val="21"/>
        </w:rPr>
        <w:t>, 63–74.</w:t>
      </w:r>
    </w:p>
    <w:p>
      <w:pPr>
        <w:pStyle w:val="ListNumber"/>
        <w:numPr>
          <w:ilvl w:val="0"/>
          <w:numId w:val="12"/>
        </w:numPr>
        <w:spacing w:after="80"/>
        <w:ind w:left="504"/>
      </w:pPr>
      <w:r>
        <w:rPr>
          <w:rFonts w:ascii="Times New Roman" w:hAnsi="Times New Roman"/>
          <w:b w:val="0"/>
          <w:i w:val="0"/>
          <w:sz w:val="21"/>
        </w:rPr>
        <w:t xml:space="preserve">Laaber, C., Scheuner, J., and Leitner, P. (2019). Software Microbenchmarking in the Cloud. How Bad is it Really? </w:t>
      </w:r>
      <w:r>
        <w:rPr>
          <w:rFonts w:ascii="Times New Roman" w:hAnsi="Times New Roman"/>
          <w:b w:val="0"/>
          <w:i/>
          <w:sz w:val="21"/>
        </w:rPr>
        <w:t>Empirical Software Engineering</w:t>
      </w:r>
      <w:r>
        <w:rPr>
          <w:rFonts w:ascii="Times New Roman" w:hAnsi="Times New Roman"/>
          <w:b w:val="0"/>
          <w:i w:val="0"/>
          <w:sz w:val="21"/>
        </w:rPr>
        <w:t>, 24(4), 2469–2508.</w:t>
      </w:r>
    </w:p>
    <w:p>
      <w:pPr>
        <w:pStyle w:val="ListNumber"/>
        <w:numPr>
          <w:ilvl w:val="0"/>
          <w:numId w:val="12"/>
        </w:numPr>
        <w:spacing w:after="80"/>
        <w:ind w:left="504"/>
      </w:pPr>
      <w:r>
        <w:rPr>
          <w:rFonts w:ascii="Times New Roman" w:hAnsi="Times New Roman"/>
          <w:b w:val="0"/>
          <w:i w:val="0"/>
          <w:sz w:val="21"/>
        </w:rPr>
        <w:t xml:space="preserve">Maricq, A., Duplyakin, D., Jimenez, I., Maltzahn, C., Stutsman, R., and Ricci, R. (2018). Taming Performance Variability. </w:t>
      </w:r>
      <w:r>
        <w:rPr>
          <w:rFonts w:ascii="Times New Roman" w:hAnsi="Times New Roman"/>
          <w:b w:val="0"/>
          <w:i/>
          <w:sz w:val="21"/>
        </w:rPr>
        <w:t>OSDI '18</w:t>
      </w:r>
      <w:r>
        <w:rPr>
          <w:rFonts w:ascii="Times New Roman" w:hAnsi="Times New Roman"/>
          <w:b w:val="0"/>
          <w:i w:val="0"/>
          <w:sz w:val="21"/>
        </w:rPr>
        <w:t>, 409–425.</w:t>
      </w:r>
    </w:p>
    <w:p>
      <w:pPr>
        <w:pStyle w:val="ListNumber"/>
        <w:numPr>
          <w:ilvl w:val="0"/>
          <w:numId w:val="12"/>
        </w:numPr>
        <w:spacing w:after="80"/>
        <w:ind w:left="504"/>
      </w:pPr>
      <w:r>
        <w:rPr>
          <w:rFonts w:ascii="Times New Roman" w:hAnsi="Times New Roman"/>
          <w:b w:val="0"/>
          <w:i w:val="0"/>
          <w:sz w:val="21"/>
        </w:rPr>
        <w:t xml:space="preserve">Mytkowicz, T., Diwan, A., Hauswirth, M., and Sweeney, P. F. (2009). Producing Wrong Data Without Doing Anything Obviously Wrong! </w:t>
      </w:r>
      <w:r>
        <w:rPr>
          <w:rFonts w:ascii="Times New Roman" w:hAnsi="Times New Roman"/>
          <w:b w:val="0"/>
          <w:i/>
          <w:sz w:val="21"/>
        </w:rPr>
        <w:t>ASPLOS '09</w:t>
      </w:r>
      <w:r>
        <w:rPr>
          <w:rFonts w:ascii="Times New Roman" w:hAnsi="Times New Roman"/>
          <w:b w:val="0"/>
          <w:i w:val="0"/>
          <w:sz w:val="21"/>
        </w:rPr>
        <w:t>, 265–276.</w:t>
      </w:r>
    </w:p>
    <w:p>
      <w:pPr>
        <w:pStyle w:val="ListNumber"/>
        <w:numPr>
          <w:ilvl w:val="0"/>
          <w:numId w:val="12"/>
        </w:numPr>
        <w:spacing w:after="80"/>
        <w:ind w:left="504"/>
      </w:pPr>
      <w:r>
        <w:rPr>
          <w:rFonts w:ascii="Times New Roman" w:hAnsi="Times New Roman"/>
          <w:b w:val="0"/>
          <w:i w:val="0"/>
          <w:sz w:val="21"/>
        </w:rPr>
        <w:t xml:space="preserve">Reniers, V., Van Landuyt, D., Rafique, A., and Joosen, W. (2017). On the State of NoSQL Benchmarks. </w:t>
      </w:r>
      <w:r>
        <w:rPr>
          <w:rFonts w:ascii="Times New Roman" w:hAnsi="Times New Roman"/>
          <w:b w:val="0"/>
          <w:i/>
          <w:sz w:val="21"/>
        </w:rPr>
        <w:t>ICPE '17 Companion</w:t>
      </w:r>
      <w:r>
        <w:rPr>
          <w:rFonts w:ascii="Times New Roman" w:hAnsi="Times New Roman"/>
          <w:b w:val="0"/>
          <w:i w:val="0"/>
          <w:sz w:val="21"/>
        </w:rPr>
        <w:t>, 107–112.</w:t>
      </w:r>
    </w:p>
    <w:p>
      <w:pPr>
        <w:pStyle w:val="ListNumber"/>
        <w:numPr>
          <w:ilvl w:val="0"/>
          <w:numId w:val="12"/>
        </w:numPr>
        <w:spacing w:after="80"/>
        <w:ind w:left="504"/>
      </w:pPr>
      <w:r>
        <w:rPr>
          <w:rFonts w:ascii="Times New Roman" w:hAnsi="Times New Roman"/>
          <w:b w:val="0"/>
          <w:i w:val="0"/>
          <w:sz w:val="21"/>
        </w:rPr>
        <w:t>Sigelman, B. H., Barroso, L. A., Burrows, M., Stephenson, P., Plakal, M., Beaver, D., Jaspan, S., and Shanbhag, C. (2010). Dapper, a Large-Scale Distributed Systems Tracing Infrastructure. Google Technical Report.</w:t>
      </w:r>
    </w:p>
    <w:p>
      <w:pPr>
        <w:pStyle w:val="ListNumber"/>
        <w:numPr>
          <w:ilvl w:val="0"/>
          <w:numId w:val="12"/>
        </w:numPr>
        <w:spacing w:after="80"/>
        <w:ind w:left="504"/>
      </w:pPr>
      <w:r>
        <w:rPr>
          <w:rFonts w:ascii="Times New Roman" w:hAnsi="Times New Roman"/>
          <w:b w:val="0"/>
          <w:i w:val="0"/>
          <w:sz w:val="21"/>
        </w:rPr>
        <w:t xml:space="preserve">Tallent, N. R., Mellor-Crummey, J., and Porterfield, A. (2010). Analyzing Lock Contention in Multithreaded Applications. </w:t>
      </w:r>
      <w:r>
        <w:rPr>
          <w:rFonts w:ascii="Times New Roman" w:hAnsi="Times New Roman"/>
          <w:b w:val="0"/>
          <w:i/>
          <w:sz w:val="21"/>
        </w:rPr>
        <w:t>PPoPP '10</w:t>
      </w:r>
      <w:r>
        <w:rPr>
          <w:rFonts w:ascii="Times New Roman" w:hAnsi="Times New Roman"/>
          <w:b w:val="0"/>
          <w:i w:val="0"/>
          <w:sz w:val="21"/>
        </w:rPr>
        <w:t>, 269–280.</w:t>
      </w:r>
    </w:p>
    <w:p>
      <w:pPr>
        <w:pStyle w:val="ListNumber"/>
        <w:numPr>
          <w:ilvl w:val="0"/>
          <w:numId w:val="12"/>
        </w:numPr>
        <w:spacing w:after="80"/>
        <w:ind w:left="504"/>
      </w:pPr>
      <w:r>
        <w:rPr>
          <w:rFonts w:ascii="Times New Roman" w:hAnsi="Times New Roman"/>
          <w:b w:val="0"/>
          <w:i w:val="0"/>
          <w:sz w:val="21"/>
        </w:rPr>
        <w:t xml:space="preserve">Tene, G. HdrHistogram: A High Dynamic Range Histogram. </w:t>
      </w:r>
      <w:r>
        <w:rPr>
          <w:rFonts w:ascii="Consolas" w:hAnsi="Consolas"/>
          <w:b w:val="0"/>
          <w:i w:val="0"/>
          <w:color w:val="8B1A1A"/>
          <w:sz w:val="17"/>
        </w:rPr>
        <w:t>https://github.com/HdrHistogram/HdrHistogram</w:t>
      </w:r>
    </w:p>
    <w:p>
      <w:pPr>
        <w:pStyle w:val="ListNumber"/>
        <w:numPr>
          <w:ilvl w:val="0"/>
          <w:numId w:val="12"/>
        </w:numPr>
        <w:spacing w:after="80"/>
        <w:ind w:left="504"/>
      </w:pPr>
      <w:r>
        <w:rPr>
          <w:rFonts w:ascii="Times New Roman" w:hAnsi="Times New Roman"/>
          <w:b w:val="0"/>
          <w:i w:val="0"/>
          <w:sz w:val="21"/>
        </w:rPr>
        <w:t xml:space="preserve">Uta, A., Custura, A., Duplyakin, D., Jimenez, I., Rellermeyer, J., Maltzahn, C., Ricci, R., and Iosup, A. (2020). Is Big Data Performance Reproducible in Modern Cloud Networks? </w:t>
      </w:r>
      <w:r>
        <w:rPr>
          <w:rFonts w:ascii="Times New Roman" w:hAnsi="Times New Roman"/>
          <w:b w:val="0"/>
          <w:i/>
          <w:sz w:val="21"/>
        </w:rPr>
        <w:t>NSDI '20</w:t>
      </w:r>
      <w:r>
        <w:rPr>
          <w:rFonts w:ascii="Times New Roman" w:hAnsi="Times New Roman"/>
          <w:b w:val="0"/>
          <w:i w:val="0"/>
          <w:sz w:val="21"/>
        </w:rPr>
        <w:t>, 513–527.</w:t>
      </w:r>
    </w:p>
    <w:p>
      <w:pPr>
        <w:spacing w:before="40" w:after="160"/>
        <w:pBdr>
          <w:bottom w:val="single" w:sz="6" w:space="1" w:color="AAAAAA"/>
        </w:pBdr>
      </w:pPr>
    </w:p>
    <w:p>
      <w:pPr>
        <w:pStyle w:val="Heading1"/>
      </w:pPr>
      <w:r>
        <w:rPr>
          <w:rFonts w:ascii="Times New Roman" w:hAnsi="Times New Roman"/>
          <w:b/>
          <w:i w:val="0"/>
          <w:color w:val="000000"/>
          <w:sz w:val="32"/>
        </w:rPr>
        <w:t>Appendix A. Reproducibility</w:t>
      </w:r>
    </w:p>
    <w:p>
      <w:pPr>
        <w:jc w:val="both"/>
      </w:pPr>
      <w:r>
        <w:rPr>
          <w:rFonts w:ascii="Times New Roman" w:hAnsi="Times New Roman"/>
          <w:b w:val="0"/>
          <w:i w:val="0"/>
          <w:sz w:val="21"/>
        </w:rPr>
        <w:t>All raw data, analysis code, and figure code are committed.</w:t>
      </w:r>
    </w:p>
    <w:p>
      <w:pPr>
        <w:spacing w:after="0" w:line="240" w:lineRule="auto"/>
        <w:ind w:left="360"/>
      </w:pPr>
      <w:r>
        <w:rPr>
          <w:rFonts w:ascii="Consolas" w:hAnsi="Consolas"/>
          <w:color w:val="1F3A5F"/>
          <w:sz w:val="17"/>
        </w:rPr>
        <w:t># Every table and statistic in §5 (also writes experiments/design_axes_analysis.json)</w:t>
      </w:r>
    </w:p>
    <w:p>
      <w:pPr>
        <w:spacing w:after="0" w:line="240" w:lineRule="auto"/>
        <w:ind w:left="360"/>
      </w:pPr>
      <w:r>
        <w:rPr>
          <w:rFonts w:ascii="Consolas" w:hAnsi="Consolas"/>
          <w:color w:val="1F3A5F"/>
          <w:sz w:val="17"/>
        </w:rPr>
        <w:t>python3 scripts/analyze_design_axes.py</w:t>
      </w:r>
    </w:p>
    <w:p>
      <w:pPr>
        <w:spacing w:after="0" w:line="240" w:lineRule="auto"/>
        <w:ind w:left="360"/>
      </w:pPr>
      <w:r>
        <w:rPr>
          <w:rFonts w:ascii="Consolas" w:hAnsi="Consolas"/>
          <w:color w:val="1F3A5F"/>
          <w:sz w:val="17"/>
        </w:rPr>
        <w:t xml:space="preserve"> </w:t>
      </w:r>
    </w:p>
    <w:p>
      <w:pPr>
        <w:spacing w:after="0" w:line="240" w:lineRule="auto"/>
        <w:ind w:left="360"/>
      </w:pPr>
      <w:r>
        <w:rPr>
          <w:rFonts w:ascii="Consolas" w:hAnsi="Consolas"/>
          <w:color w:val="1F3A5F"/>
          <w:sz w:val="17"/>
        </w:rPr>
        <w:t># Figures 1-3, recomputed from the same helpers the tables use</w:t>
      </w:r>
    </w:p>
    <w:p>
      <w:pPr>
        <w:spacing w:after="0" w:line="240" w:lineRule="auto"/>
        <w:ind w:left="360"/>
      </w:pPr>
      <w:r>
        <w:rPr>
          <w:rFonts w:ascii="Consolas" w:hAnsi="Consolas"/>
          <w:color w:val="1F3A5F"/>
          <w:sz w:val="17"/>
        </w:rPr>
        <w:t>python3 scripts/generate_design_axes_figures.py</w:t>
      </w:r>
    </w:p>
    <w:p>
      <w:pPr>
        <w:spacing w:after="0" w:line="240" w:lineRule="auto"/>
        <w:ind w:left="360"/>
      </w:pPr>
      <w:r>
        <w:rPr>
          <w:rFonts w:ascii="Consolas" w:hAnsi="Consolas"/>
          <w:color w:val="1F3A5F"/>
          <w:sz w:val="17"/>
        </w:rPr>
        <w:t xml:space="preserve"> </w:t>
      </w:r>
    </w:p>
    <w:p>
      <w:pPr>
        <w:spacing w:after="0" w:line="240" w:lineRule="auto"/>
        <w:ind w:left="360"/>
      </w:pPr>
      <w:r>
        <w:rPr>
          <w:rFonts w:ascii="Consolas" w:hAnsi="Consolas"/>
          <w:color w:val="1F3A5F"/>
          <w:sz w:val="17"/>
        </w:rPr>
        <w:t># Section 5.4: the axis-separation experiment (8 independent runs)</w:t>
      </w:r>
    </w:p>
    <w:p>
      <w:pPr>
        <w:spacing w:after="0" w:line="240" w:lineRule="auto"/>
        <w:ind w:left="360"/>
      </w:pPr>
      <w:r>
        <w:rPr>
          <w:rFonts w:ascii="Consolas" w:hAnsi="Consolas"/>
          <w:color w:val="1F3A5F"/>
          <w:sz w:val="17"/>
        </w:rPr>
        <w:t>python3 scripts/combine_iterations.py \</w:t>
      </w:r>
    </w:p>
    <w:p>
      <w:pPr>
        <w:spacing w:after="0" w:line="240" w:lineRule="auto"/>
        <w:ind w:left="360"/>
      </w:pPr>
      <w:r>
        <w:rPr>
          <w:rFonts w:ascii="Consolas" w:hAnsi="Consolas"/>
          <w:color w:val="1F3A5F"/>
          <w:sz w:val="17"/>
        </w:rPr>
        <w:t xml:space="preserve">    --input-dir experiments/azure_d8s_v6_followup \</w:t>
      </w:r>
    </w:p>
    <w:p>
      <w:pPr>
        <w:spacing w:after="0" w:line="240" w:lineRule="auto"/>
        <w:ind w:left="360"/>
      </w:pPr>
      <w:r>
        <w:rPr>
          <w:rFonts w:ascii="Consolas" w:hAnsi="Consolas"/>
          <w:color w:val="1F3A5F"/>
          <w:sz w:val="17"/>
        </w:rPr>
        <w:t xml:space="preserve">    --output-dir experiments/azure_d8s_v6_followup/pooled</w:t>
      </w:r>
    </w:p>
    <w:p>
      <w:pPr>
        <w:spacing w:after="0" w:line="240" w:lineRule="auto"/>
        <w:ind w:left="360"/>
      </w:pPr>
      <w:r>
        <w:rPr>
          <w:rFonts w:ascii="Consolas" w:hAnsi="Consolas"/>
          <w:color w:val="1F3A5F"/>
          <w:sz w:val="17"/>
        </w:rPr>
        <w:t>python3 scripts/analyze_design_axes.py --followup-only \</w:t>
      </w:r>
    </w:p>
    <w:p>
      <w:pPr>
        <w:spacing w:after="0" w:line="240" w:lineRule="auto"/>
        <w:ind w:left="360"/>
      </w:pPr>
      <w:r>
        <w:rPr>
          <w:rFonts w:ascii="Consolas" w:hAnsi="Consolas"/>
          <w:color w:val="1F3A5F"/>
          <w:sz w:val="17"/>
        </w:rPr>
        <w:t xml:space="preserve">    --pooled-csv experiments/azure_d8s_v6_followup/pooled/raw_data_rmit.csv</w:t>
      </w:r>
    </w:p>
    <w:p>
      <w:pPr>
        <w:spacing w:after="40"/>
      </w:pPr>
    </w:p>
    <w:p>
      <w:pPr>
        <w:jc w:val="both"/>
      </w:pPr>
      <w:r>
        <w:rPr>
          <w:rFonts w:ascii="Times New Roman" w:hAnsi="Times New Roman"/>
          <w:b w:val="0"/>
          <w:i w:val="0"/>
          <w:sz w:val="21"/>
        </w:rPr>
        <w:t xml:space="preserve">To regenerate the §5.4 dataset, see </w:t>
      </w:r>
      <w:r>
        <w:rPr>
          <w:rFonts w:ascii="Consolas" w:hAnsi="Consolas"/>
          <w:b w:val="0"/>
          <w:i w:val="0"/>
          <w:color w:val="8B1A1A"/>
          <w:sz w:val="17"/>
        </w:rPr>
        <w:t>docs/followup_experiment_protocol.md</w:t>
      </w:r>
      <w:r>
        <w:rPr>
          <w:rFonts w:ascii="Times New Roman" w:hAnsi="Times New Roman"/>
          <w:b w:val="0"/>
          <w:i w:val="0"/>
          <w:sz w:val="21"/>
        </w:rPr>
        <w:t>; each of the eight runs is one VM:</w:t>
      </w:r>
    </w:p>
    <w:p>
      <w:pPr>
        <w:spacing w:after="0" w:line="240" w:lineRule="auto"/>
        <w:ind w:left="360"/>
      </w:pPr>
      <w:r>
        <w:rPr>
          <w:rFonts w:ascii="Consolas" w:hAnsi="Consolas"/>
          <w:color w:val="1F3A5F"/>
          <w:sz w:val="17"/>
        </w:rPr>
        <w:t>RMIT_ENVIRONMENT_LABEL=&lt;label&gt; python3 scripts/run_rmit_experiment.py \</w:t>
      </w:r>
    </w:p>
    <w:p>
      <w:pPr>
        <w:spacing w:after="0" w:line="240" w:lineRule="auto"/>
        <w:ind w:left="360"/>
      </w:pPr>
      <w:r>
        <w:rPr>
          <w:rFonts w:ascii="Consolas" w:hAnsi="Consolas"/>
          <w:color w:val="1F3A5F"/>
          <w:sz w:val="17"/>
        </w:rPr>
        <w:t xml:space="preserve">  --strategies all --cardinalities 1,10,100,1000,10000 \</w:t>
      </w:r>
    </w:p>
    <w:p>
      <w:pPr>
        <w:spacing w:after="0" w:line="240" w:lineRule="auto"/>
        <w:ind w:left="360"/>
      </w:pPr>
      <w:r>
        <w:rPr>
          <w:rFonts w:ascii="Consolas" w:hAnsi="Consolas"/>
          <w:color w:val="1F3A5F"/>
          <w:sz w:val="17"/>
        </w:rPr>
        <w:t xml:space="preserve">  --runs 15 --concurrency 100,1000,3000 --workloads mixed \</w:t>
      </w:r>
    </w:p>
    <w:p>
      <w:pPr>
        <w:spacing w:after="0" w:line="240" w:lineRule="auto"/>
        <w:ind w:left="360"/>
      </w:pPr>
      <w:r>
        <w:rPr>
          <w:rFonts w:ascii="Consolas" w:hAnsi="Consolas"/>
          <w:color w:val="1F3A5F"/>
          <w:sz w:val="17"/>
        </w:rPr>
        <w:t xml:space="preserve">  --key-space 10000 --seed &lt;distinct&gt; \</w:t>
      </w:r>
    </w:p>
    <w:p>
      <w:pPr>
        <w:spacing w:after="0" w:line="240" w:lineRule="auto"/>
        <w:ind w:left="360"/>
      </w:pPr>
      <w:r>
        <w:rPr>
          <w:rFonts w:ascii="Consolas" w:hAnsi="Consolas"/>
          <w:color w:val="1F3A5F"/>
          <w:sz w:val="17"/>
        </w:rPr>
        <w:t xml:space="preserve">  --output-dir experiments/azure_d8s_v6_followup/run_&lt;NN&gt;</w:t>
      </w:r>
    </w:p>
    <w:p>
      <w:pPr>
        <w:spacing w:after="40"/>
      </w:pPr>
    </w:p>
    <w:p>
      <w:pPr>
        <w:jc w:val="both"/>
      </w:pPr>
      <w:r>
        <w:rPr>
          <w:rFonts w:ascii="Times New Roman" w:hAnsi="Times New Roman"/>
          <w:b w:val="0"/>
          <w:i w:val="0"/>
          <w:sz w:val="21"/>
        </w:rPr>
        <w:t xml:space="preserve">To regenerate the datasets themselves (each on a dedicated cloud VM; see </w:t>
      </w:r>
      <w:r>
        <w:rPr>
          <w:rFonts w:ascii="Consolas" w:hAnsi="Consolas"/>
          <w:b w:val="0"/>
          <w:i w:val="0"/>
          <w:color w:val="8B1A1A"/>
          <w:sz w:val="17"/>
        </w:rPr>
        <w:t>docs/rmit_experiment_protocol.md</w:t>
      </w:r>
      <w:r>
        <w:rPr>
          <w:rFonts w:ascii="Times New Roman" w:hAnsi="Times New Roman"/>
          <w:b w:val="0"/>
          <w:i w:val="0"/>
          <w:sz w:val="21"/>
        </w:rPr>
        <w:t xml:space="preserve"> for provisioning):</w:t>
      </w:r>
    </w:p>
    <w:p>
      <w:pPr>
        <w:spacing w:after="0" w:line="240" w:lineRule="auto"/>
        <w:ind w:left="360"/>
      </w:pPr>
      <w:r>
        <w:rPr>
          <w:rFonts w:ascii="Consolas" w:hAnsi="Consolas"/>
          <w:color w:val="1F3A5F"/>
          <w:sz w:val="17"/>
        </w:rPr>
        <w:t># D4s_v6: single workload, 30 repetitions</w:t>
      </w:r>
    </w:p>
    <w:p>
      <w:pPr>
        <w:spacing w:after="0" w:line="240" w:lineRule="auto"/>
        <w:ind w:left="360"/>
      </w:pPr>
      <w:r>
        <w:rPr>
          <w:rFonts w:ascii="Consolas" w:hAnsi="Consolas"/>
          <w:color w:val="1F3A5F"/>
          <w:sz w:val="17"/>
        </w:rPr>
        <w:t>RMIT_ENVIRONMENT_LABEL=&lt;label&gt; python3 scripts/run_rmit_experiment.py \</w:t>
      </w:r>
    </w:p>
    <w:p>
      <w:pPr>
        <w:spacing w:after="0" w:line="240" w:lineRule="auto"/>
        <w:ind w:left="360"/>
      </w:pPr>
      <w:r>
        <w:rPr>
          <w:rFonts w:ascii="Consolas" w:hAnsi="Consolas"/>
          <w:color w:val="1F3A5F"/>
          <w:sz w:val="17"/>
        </w:rPr>
        <w:t xml:space="preserve">  --runs 30 --concurrency 100,200,300,400,500,600,700,1000 \</w:t>
      </w:r>
    </w:p>
    <w:p>
      <w:pPr>
        <w:spacing w:after="0" w:line="240" w:lineRule="auto"/>
        <w:ind w:left="360"/>
      </w:pPr>
      <w:r>
        <w:rPr>
          <w:rFonts w:ascii="Consolas" w:hAnsi="Consolas"/>
          <w:color w:val="1F3A5F"/>
          <w:sz w:val="17"/>
        </w:rPr>
        <w:t xml:space="preserve">  --output-dir experiments/azure_d4s_v6</w:t>
      </w:r>
    </w:p>
    <w:p>
      <w:pPr>
        <w:spacing w:after="0" w:line="240" w:lineRule="auto"/>
        <w:ind w:left="360"/>
      </w:pPr>
      <w:r>
        <w:rPr>
          <w:rFonts w:ascii="Consolas" w:hAnsi="Consolas"/>
          <w:color w:val="1F3A5F"/>
          <w:sz w:val="17"/>
        </w:rPr>
        <w:t xml:space="preserve"> </w:t>
      </w:r>
    </w:p>
    <w:p>
      <w:pPr>
        <w:spacing w:after="0" w:line="240" w:lineRule="auto"/>
        <w:ind w:left="360"/>
      </w:pPr>
      <w:r>
        <w:rPr>
          <w:rFonts w:ascii="Consolas" w:hAnsi="Consolas"/>
          <w:color w:val="1F3A5F"/>
          <w:sz w:val="17"/>
        </w:rPr>
        <w:t># D8s_v6: 3 workloads x wider concurrency, repeated on independent VMs</w:t>
      </w:r>
    </w:p>
    <w:p>
      <w:pPr>
        <w:spacing w:after="0" w:line="240" w:lineRule="auto"/>
        <w:ind w:left="360"/>
      </w:pPr>
      <w:r>
        <w:rPr>
          <w:rFonts w:ascii="Consolas" w:hAnsi="Consolas"/>
          <w:color w:val="1F3A5F"/>
          <w:sz w:val="17"/>
        </w:rPr>
        <w:t>for i in $(seq -w 1 10); do</w:t>
      </w:r>
    </w:p>
    <w:p>
      <w:pPr>
        <w:spacing w:after="0" w:line="240" w:lineRule="auto"/>
        <w:ind w:left="360"/>
      </w:pPr>
      <w:r>
        <w:rPr>
          <w:rFonts w:ascii="Consolas" w:hAnsi="Consolas"/>
          <w:color w:val="1F3A5F"/>
          <w:sz w:val="17"/>
        </w:rPr>
        <w:t xml:space="preserve">  RMIT_ENVIRONMENT_LABEL=&lt;label-$i&gt; python3 scripts/run_rmit_experiment.py \</w:t>
      </w:r>
    </w:p>
    <w:p>
      <w:pPr>
        <w:spacing w:after="0" w:line="240" w:lineRule="auto"/>
        <w:ind w:left="360"/>
      </w:pPr>
      <w:r>
        <w:rPr>
          <w:rFonts w:ascii="Consolas" w:hAnsi="Consolas"/>
          <w:color w:val="1F3A5F"/>
          <w:sz w:val="17"/>
        </w:rPr>
        <w:t xml:space="preserve">    --runs 15 --concurrency 100,250,500,750,1000,1500,2000,3000 \</w:t>
      </w:r>
    </w:p>
    <w:p>
      <w:pPr>
        <w:spacing w:after="0" w:line="240" w:lineRule="auto"/>
        <w:ind w:left="360"/>
      </w:pPr>
      <w:r>
        <w:rPr>
          <w:rFonts w:ascii="Consolas" w:hAnsi="Consolas"/>
          <w:color w:val="1F3A5F"/>
          <w:sz w:val="17"/>
        </w:rPr>
        <w:t xml:space="preserve">    --workloads mixed,read-heavy,write-heavy --seed $((1000 + 10#$i)) \</w:t>
      </w:r>
    </w:p>
    <w:p>
      <w:pPr>
        <w:spacing w:after="0" w:line="240" w:lineRule="auto"/>
        <w:ind w:left="360"/>
      </w:pPr>
      <w:r>
        <w:rPr>
          <w:rFonts w:ascii="Consolas" w:hAnsi="Consolas"/>
          <w:color w:val="1F3A5F"/>
          <w:sz w:val="17"/>
        </w:rPr>
        <w:t xml:space="preserve">    --output-dir experiments/azure_d8s_v6/run_$(printf %02d $i)</w:t>
      </w:r>
    </w:p>
    <w:p>
      <w:pPr>
        <w:spacing w:after="0" w:line="240" w:lineRule="auto"/>
        <w:ind w:left="360"/>
      </w:pPr>
      <w:r>
        <w:rPr>
          <w:rFonts w:ascii="Consolas" w:hAnsi="Consolas"/>
          <w:color w:val="1F3A5F"/>
          <w:sz w:val="17"/>
        </w:rPr>
        <w:t>done</w:t>
      </w:r>
    </w:p>
    <w:p>
      <w:pPr>
        <w:spacing w:after="0" w:line="240" w:lineRule="auto"/>
        <w:ind w:left="360"/>
      </w:pPr>
      <w:r>
        <w:rPr>
          <w:rFonts w:ascii="Consolas" w:hAnsi="Consolas"/>
          <w:color w:val="1F3A5F"/>
          <w:sz w:val="17"/>
        </w:rPr>
        <w:t xml:space="preserve"> </w:t>
      </w:r>
    </w:p>
    <w:p>
      <w:pPr>
        <w:spacing w:after="0" w:line="240" w:lineRule="auto"/>
        <w:ind w:left="360"/>
      </w:pPr>
      <w:r>
        <w:rPr>
          <w:rFonts w:ascii="Consolas" w:hAnsi="Consolas"/>
          <w:color w:val="1F3A5F"/>
          <w:sz w:val="17"/>
        </w:rPr>
        <w:t># Pool the 11 runs, offsetting block_id so paired blocks never span VMs</w:t>
      </w:r>
    </w:p>
    <w:p>
      <w:pPr>
        <w:spacing w:after="0" w:line="240" w:lineRule="auto"/>
        <w:ind w:left="360"/>
      </w:pPr>
      <w:r>
        <w:rPr>
          <w:rFonts w:ascii="Consolas" w:hAnsi="Consolas"/>
          <w:color w:val="1F3A5F"/>
          <w:sz w:val="17"/>
        </w:rPr>
        <w:t>python3 scripts/combine_iterations.py</w:t>
      </w:r>
    </w:p>
    <w:p>
      <w:pPr>
        <w:spacing w:after="40"/>
      </w:pPr>
    </w:p>
    <w:p>
      <w:pPr>
        <w:jc w:val="both"/>
      </w:pPr>
      <w:r>
        <w:rPr>
          <w:rFonts w:ascii="Times New Roman" w:hAnsi="Times New Roman"/>
          <w:b w:val="0"/>
          <w:i w:val="0"/>
          <w:sz w:val="21"/>
        </w:rPr>
        <w:t xml:space="preserve">Per-run machine specs, commit hash, and full runtime configuration are recorded in each run's </w:t>
      </w:r>
      <w:r>
        <w:rPr>
          <w:rFonts w:ascii="Consolas" w:hAnsi="Consolas"/>
          <w:b w:val="0"/>
          <w:i w:val="0"/>
          <w:color w:val="8B1A1A"/>
          <w:sz w:val="17"/>
        </w:rPr>
        <w:t>metadata_rmit.json</w:t>
      </w:r>
      <w:r>
        <w:rPr>
          <w:rFonts w:ascii="Times New Roman" w:hAnsi="Times New Roman"/>
          <w:b w:val="0"/>
          <w:i w:val="0"/>
          <w:sz w:val="21"/>
        </w:rPr>
        <w:t xml:space="preserve">. Supporting analyses referenced in §4.3 and §7 (detectable-effect floors, cluster-aware bounds, injected-effect simulation) are in </w:t>
      </w:r>
      <w:r>
        <w:rPr>
          <w:rFonts w:ascii="Consolas" w:hAnsi="Consolas"/>
          <w:b w:val="0"/>
          <w:i w:val="0"/>
          <w:color w:val="8B1A1A"/>
          <w:sz w:val="17"/>
        </w:rPr>
        <w:t>scripts/compute_mde.py</w:t>
      </w:r>
      <w:r>
        <w:rPr>
          <w:rFonts w:ascii="Times New Roman" w:hAnsi="Times New Roman"/>
          <w:b w:val="0"/>
          <w:i w:val="0"/>
          <w:sz w:val="21"/>
        </w:rPr>
        <w:t xml:space="preserve">, </w:t>
      </w:r>
      <w:r>
        <w:rPr>
          <w:rFonts w:ascii="Consolas" w:hAnsi="Consolas"/>
          <w:b w:val="0"/>
          <w:i w:val="0"/>
          <w:color w:val="8B1A1A"/>
          <w:sz w:val="17"/>
        </w:rPr>
        <w:t>compute_mde_clustered.py</w:t>
      </w:r>
      <w:r>
        <w:rPr>
          <w:rFonts w:ascii="Times New Roman" w:hAnsi="Times New Roman"/>
          <w:b w:val="0"/>
          <w:i w:val="0"/>
          <w:sz w:val="21"/>
        </w:rPr>
        <w:t xml:space="preserve">, and </w:t>
      </w:r>
      <w:r>
        <w:rPr>
          <w:rFonts w:ascii="Consolas" w:hAnsi="Consolas"/>
          <w:b w:val="0"/>
          <w:i w:val="0"/>
          <w:color w:val="8B1A1A"/>
          <w:sz w:val="17"/>
        </w:rPr>
        <w:t>simulate_mde.py</w:t>
      </w:r>
      <w:r>
        <w:rPr>
          <w:rFonts w:ascii="Times New Roman" w:hAnsi="Times New Roman"/>
          <w:b w:val="0"/>
          <w:i w:val="0"/>
          <w:sz w:val="21"/>
        </w:rPr>
        <w:t xml:space="preserve">; the companion measurement study of this dataset is </w:t>
      </w:r>
      <w:r>
        <w:rPr>
          <w:rFonts w:ascii="Consolas" w:hAnsi="Consolas"/>
          <w:b w:val="0"/>
          <w:i w:val="0"/>
          <w:color w:val="8B1A1A"/>
          <w:sz w:val="17"/>
        </w:rPr>
        <w:t>docs/paper_draft.md</w:t>
      </w:r>
      <w:r>
        <w:rPr>
          <w:rFonts w:ascii="Times New Roman" w:hAnsi="Times New Roman"/>
          <w:b w:val="0"/>
          <w:i w:val="0"/>
          <w:sz w:val="21"/>
        </w:rPr>
        <w:t>.</w:t>
      </w:r>
    </w:p>
    <w:p>
      <w:pPr>
        <w:pStyle w:val="Heading1"/>
      </w:pPr>
      <w:r>
        <w:rPr>
          <w:rFonts w:ascii="Times New Roman" w:hAnsi="Times New Roman"/>
          <w:b/>
          <w:i w:val="0"/>
          <w:color w:val="000000"/>
          <w:sz w:val="32"/>
        </w:rPr>
        <w:t>Appendix B. Axis arithmetic</w:t>
      </w:r>
    </w:p>
    <w:p>
      <w:pPr>
        <w:jc w:val="both"/>
      </w:pPr>
      <w:r>
        <w:rPr>
          <w:rFonts w:ascii="Times New Roman" w:hAnsi="Times New Roman"/>
          <w:b w:val="0"/>
          <w:i w:val="0"/>
          <w:sz w:val="21"/>
        </w:rPr>
        <w:t xml:space="preserve">Because all four axes are differences against a common reference, any pairwise strategy comparison is recoverable without re-analysis. Writing </w:t>
      </w:r>
      <w:r>
        <w:rPr>
          <w:rFonts w:ascii="Consolas" w:hAnsi="Consolas"/>
          <w:b w:val="0"/>
          <w:i w:val="0"/>
          <w:color w:val="8B1A1A"/>
          <w:sz w:val="17"/>
        </w:rPr>
        <w:t>O(s)</w:t>
      </w:r>
      <w:r>
        <w:rPr>
          <w:rFonts w:ascii="Times New Roman" w:hAnsi="Times New Roman"/>
          <w:b w:val="0"/>
          <w:i w:val="0"/>
          <w:sz w:val="21"/>
        </w:rPr>
        <w:t xml:space="preserve"> for a strategy's overhead versus </w:t>
      </w:r>
      <w:r>
        <w:rPr>
          <w:rFonts w:ascii="Consolas" w:hAnsi="Consolas"/>
          <w:b w:val="0"/>
          <w:i w:val="0"/>
          <w:color w:val="8B1A1A"/>
          <w:sz w:val="17"/>
        </w:rPr>
        <w:t>disabled</w:t>
      </w:r>
      <w:r>
        <w:rPr>
          <w:rFonts w:ascii="Times New Roman" w:hAnsi="Times New Roman"/>
          <w:b w:val="0"/>
          <w:i w:val="0"/>
          <w:sz w:val="21"/>
        </w:rPr>
        <w:t>:</w:t>
      </w:r>
    </w:p>
    <w:p>
      <w:pPr>
        <w:spacing w:after="0" w:line="240" w:lineRule="auto"/>
        <w:ind w:left="360"/>
      </w:pPr>
      <w:r>
        <w:rPr>
          <w:rFonts w:ascii="Consolas" w:hAnsi="Consolas"/>
          <w:color w:val="1F3A5F"/>
          <w:sz w:val="17"/>
        </w:rPr>
        <w:t>O(global_mutex)  − O(sharded_2key) = SYNC</w:t>
      </w:r>
    </w:p>
    <w:p>
      <w:pPr>
        <w:spacing w:after="0" w:line="240" w:lineRule="auto"/>
        <w:ind w:left="360"/>
      </w:pPr>
      <w:r>
        <w:rPr>
          <w:rFonts w:ascii="Consolas" w:hAnsi="Consolas"/>
          <w:color w:val="1F3A5F"/>
          <w:sz w:val="17"/>
        </w:rPr>
        <w:t>O(sharded_n)     − O(sharded_2key) = CARD</w:t>
      </w:r>
    </w:p>
    <w:p>
      <w:pPr>
        <w:spacing w:after="0" w:line="240" w:lineRule="auto"/>
        <w:ind w:left="360"/>
      </w:pPr>
      <w:r>
        <w:rPr>
          <w:rFonts w:ascii="Consolas" w:hAnsi="Consolas"/>
          <w:color w:val="1F3A5F"/>
          <w:sz w:val="17"/>
        </w:rPr>
        <w:t>O(sharded_2key)  − O(thread_local) = DEFER</w:t>
      </w:r>
    </w:p>
    <w:p>
      <w:pPr>
        <w:spacing w:after="0" w:line="240" w:lineRule="auto"/>
        <w:ind w:left="360"/>
      </w:pPr>
      <w:r>
        <w:rPr>
          <w:rFonts w:ascii="Consolas" w:hAnsi="Consolas"/>
          <w:color w:val="1F3A5F"/>
          <w:sz w:val="17"/>
        </w:rPr>
        <w:t>O(hdr_histogram) − O(thread_local) = PAYLOAD</w:t>
      </w:r>
    </w:p>
    <w:p>
      <w:pPr>
        <w:spacing w:after="0" w:line="240" w:lineRule="auto"/>
        <w:ind w:left="360"/>
      </w:pPr>
      <w:r>
        <w:rPr>
          <w:rFonts w:ascii="Consolas" w:hAnsi="Consolas"/>
          <w:color w:val="1F3A5F"/>
          <w:sz w:val="17"/>
        </w:rPr>
        <w:t xml:space="preserve"> </w:t>
      </w:r>
    </w:p>
    <w:p>
      <w:pPr>
        <w:spacing w:after="0" w:line="240" w:lineRule="auto"/>
        <w:ind w:left="360"/>
      </w:pPr>
      <w:r>
        <w:rPr>
          <w:rFonts w:ascii="Consolas" w:hAnsi="Consolas"/>
          <w:color w:val="1F3A5F"/>
          <w:sz w:val="17"/>
        </w:rPr>
        <w:t>O(sharded_n)     − O(global_mutex) = CARD − SYNC            (§5.1 headline)</w:t>
      </w:r>
    </w:p>
    <w:p>
      <w:pPr>
        <w:spacing w:after="0" w:line="240" w:lineRule="auto"/>
        <w:ind w:left="360"/>
      </w:pPr>
      <w:r>
        <w:rPr>
          <w:rFonts w:ascii="Consolas" w:hAnsi="Consolas"/>
          <w:color w:val="1F3A5F"/>
          <w:sz w:val="17"/>
        </w:rPr>
        <w:t>O(hdr_histogram) − O(sharded_2key) = PAYLOAD − DEFER</w:t>
      </w:r>
    </w:p>
    <w:p>
      <w:pPr>
        <w:spacing w:after="0" w:line="240" w:lineRule="auto"/>
        <w:ind w:left="360"/>
      </w:pPr>
      <w:r>
        <w:rPr>
          <w:rFonts w:ascii="Consolas" w:hAnsi="Consolas"/>
          <w:color w:val="1F3A5F"/>
          <w:sz w:val="17"/>
        </w:rPr>
        <w:t>O(hdr_histogram) − O(global_mutex) = PAYLOAD − DEFER − SYNC (§5.3 inversion)</w:t>
      </w:r>
    </w:p>
    <w:p>
      <w:pPr>
        <w:spacing w:after="40"/>
      </w:pPr>
    </w:p>
    <w:p>
      <w:pPr>
        <w:jc w:val="both"/>
      </w:pPr>
      <w:r>
        <w:rPr>
          <w:rFonts w:ascii="Times New Roman" w:hAnsi="Times New Roman"/>
          <w:b w:val="0"/>
          <w:i w:val="0"/>
          <w:sz w:val="21"/>
        </w:rPr>
        <w:t xml:space="preserve">The §5.1 headline is thus not a separate test but a reading of the decomposition: the sign of </w:t>
      </w:r>
      <w:r>
        <w:rPr>
          <w:rFonts w:ascii="Consolas" w:hAnsi="Consolas"/>
          <w:b w:val="0"/>
          <w:i w:val="0"/>
          <w:color w:val="8B1A1A"/>
          <w:sz w:val="17"/>
        </w:rPr>
        <w:t>CARD − SYNC</w:t>
      </w:r>
      <w:r>
        <w:rPr>
          <w:rFonts w:ascii="Times New Roman" w:hAnsi="Times New Roman"/>
          <w:b w:val="0"/>
          <w:i w:val="0"/>
          <w:sz w:val="21"/>
        </w:rPr>
        <w:t xml:space="preserve"> </w:t>
      </w:r>
      <w:r>
        <w:rPr>
          <w:rFonts w:ascii="Times New Roman" w:hAnsi="Times New Roman"/>
          <w:b w:val="0"/>
          <w:i/>
          <w:sz w:val="21"/>
        </w:rPr>
        <w:t>is</w:t>
      </w:r>
      <w:r>
        <w:rPr>
          <w:rFonts w:ascii="Times New Roman" w:hAnsi="Times New Roman"/>
          <w:b w:val="0"/>
          <w:i w:val="0"/>
          <w:sz w:val="21"/>
        </w:rPr>
        <w:t xml:space="preserve"> the ordering of </w:t>
      </w:r>
      <w:r>
        <w:rPr>
          <w:rFonts w:ascii="Consolas" w:hAnsi="Consolas"/>
          <w:b w:val="0"/>
          <w:i w:val="0"/>
          <w:color w:val="8B1A1A"/>
          <w:sz w:val="17"/>
        </w:rPr>
        <w:t>sharded_n</w:t>
      </w:r>
      <w:r>
        <w:rPr>
          <w:rFonts w:ascii="Times New Roman" w:hAnsi="Times New Roman"/>
          <w:b w:val="0"/>
          <w:i w:val="0"/>
          <w:sz w:val="21"/>
        </w:rPr>
        <w:t xml:space="preserve"> against </w:t>
      </w:r>
      <w:r>
        <w:rPr>
          <w:rFonts w:ascii="Consolas" w:hAnsi="Consolas"/>
          <w:b w:val="0"/>
          <w:i w:val="0"/>
          <w:color w:val="8B1A1A"/>
          <w:sz w:val="17"/>
        </w:rPr>
        <w:t>global_mutex</w:t>
      </w:r>
      <w:r>
        <w:rPr>
          <w:rFonts w:ascii="Times New Roman" w:hAnsi="Times New Roman"/>
          <w:b w:val="0"/>
          <w:i w:val="0"/>
          <w:sz w:val="21"/>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abstractNum w:abstractNumId="10">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abstractNum w:abstractNumId="1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