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20"/>
        </w:pBdr>
        <w:spacing w:after="40"/>
      </w:pPr>
      <w:r>
        <w:rPr>
          <w:b/>
          <w:bCs/>
          <w:color w:val="1F4E79"/>
          <w:sz w:val="38"/>
          <w:szCs w:val="38"/>
        </w:rPr>
        <w:t xml:space="preserve">Heart Failure Detection from ECG: Final Comparative Report</w:t>
      </w:r>
    </w:p>
    <w:p>
      <w:pPr>
        <w:spacing w:after="40"/>
      </w:pPr>
      <w:r>
        <w:rPr>
          <w:i/>
          <w:iCs/>
          <w:color w:val="595959"/>
          <w:sz w:val="21"/>
          <w:szCs w:val="21"/>
        </w:rPr>
        <w:t xml:space="preserve">12-Lead and Single-Lead Models, Benchmarked Against Three Independent Published Studies</w:t>
      </w:r>
    </w:p>
    <w:p>
      <w:pPr>
        <w:pStyle w:val="Heading1"/>
        <w:spacing w:after="130" w:before="320"/>
      </w:pPr>
      <w:r>
        <w:rPr>
          <w:b/>
          <w:bCs/>
          <w:color w:val="1F4E79"/>
        </w:rPr>
        <w:t xml:space="preserve">1. How This Project Defines “Heart Failure”: HFrEF</w:t>
      </w:r>
    </w:p>
    <w:p>
      <w:pPr>
        <w:spacing w:after="120" w:line="276"/>
      </w:pPr>
      <w:r>
        <w:t xml:space="preserve">Heart failure is a broad clinical syndrome with two major subtypes, distinguished by ejection fraction (EF) — the percentage of blood the heart pumps out with each beat:</w:t>
      </w:r>
    </w:p>
    <w:p>
      <w:pPr>
        <w:pStyle w:val="ListParagraph"/>
        <w:numPr>
          <w:ilvl w:val="0"/>
          <w:numId w:val="2"/>
        </w:numPr>
        <w:spacing w:after="80" w:line="270"/>
      </w:pPr>
      <w:r>
        <w:rPr>
          <w:b/>
          <w:bCs/>
        </w:rPr>
        <w:t xml:space="preserve">HFrEF (Heart Failure with reduced Ejection Fraction): </w:t>
      </w:r>
      <w:r>
        <w:t xml:space="preserve">EF is abnormally low — the heart's pumping muscle is weak. This is the classic, most electrically-detectable form of heart failure.</w:t>
      </w:r>
    </w:p>
    <w:p>
      <w:pPr>
        <w:pStyle w:val="ListParagraph"/>
        <w:numPr>
          <w:ilvl w:val="0"/>
          <w:numId w:val="2"/>
        </w:numPr>
        <w:spacing w:after="80" w:line="270"/>
      </w:pPr>
      <w:r>
        <w:rPr>
          <w:b/>
          <w:bCs/>
        </w:rPr>
        <w:t xml:space="preserve">HFpEF (Heart Failure with preserved Ejection Fraction): </w:t>
      </w:r>
      <w:r>
        <w:t xml:space="preserve">EF looks normal, but the heart is too stiff to fill properly. Not addressed by this project.</w:t>
      </w:r>
    </w:p>
    <w:p>
      <w:pPr>
        <w:spacing w:after="120" w:line="276"/>
      </w:pPr>
      <w:r>
        <w:t xml:space="preserve">Throughout this project, “heart failure” is operationalized as HFrEF, using two thresholds: LVEF ≤ 45% (moderate-or-greater reduction, used for the 12-lead model, matching the standard EchoNext-Mini definition) and LVEF ≤ 35% (severe reduction, used for the primary single-lead model, selected after a 13-target sweep showed it to be the most ECG-detectable HFrEF definition). Both are legitimate, clinically-recognized HFrEF cutoffs; the specific choice per model is stated wherever results are reported. This project does not detect HFpEF, and this is a stated limitation, not an oversight.</w:t>
      </w:r>
    </w:p>
    <w:p>
      <w:pPr>
        <w:pStyle w:val="Heading1"/>
        <w:spacing w:after="130" w:before="320"/>
      </w:pPr>
      <w:r>
        <w:rPr>
          <w:b/>
          <w:bCs/>
          <w:color w:val="1F4E79"/>
        </w:rPr>
        <w:t xml:space="preserve">2. The Three Comparison Studies</w:t>
      </w:r>
    </w:p>
    <w:p>
      <w:pPr>
        <w:spacing w:after="30"/>
      </w:pPr>
    </w:p>
    <w:tbl>
      <w:tblPr>
        <w:tblW w:type="dxa" w:w="9360"/>
        <w:tblBorders>
          <w:top w:val="single" w:color="AAB6C4" w:sz="2"/>
          <w:left w:val="none"/>
          <w:bottom w:val="single" w:color="AAB6C4" w:sz="2"/>
          <w:right w:val="none"/>
          <w:insideH w:val="single" w:color="D6DEE8" w:sz="1"/>
          <w:insideV w:val="single" w:color="D6DEE8" w:sz="1"/>
        </w:tblBorders>
      </w:tblPr>
      <w:tblGrid>
        <w:gridCol w:w="3200"/>
        <w:gridCol w:w="2600"/>
        <w:gridCol w:w="2000"/>
        <w:gridCol w:w="1560"/>
      </w:tblGrid>
      <w:tr>
        <w:trPr>
          <w:tblHeader/>
        </w:trPr>
        <w:tc>
          <w:tcPr>
            <w:tcW w:type="dxa" w:w="3200"/>
            <w:shd w:fill="1F4E79" w:val="clear"/>
            <w:tcMar>
              <w:top w:type="dxa" w:w="60"/>
              <w:left w:type="dxa" w:w="80"/>
              <w:bottom w:type="dxa" w:w="60"/>
              <w:right w:type="dxa" w:w="80"/>
            </w:tcMar>
          </w:tcPr>
          <w:p>
            <w:pPr>
              <w:jc w:val="left"/>
            </w:pPr>
            <w:r>
              <w:rPr>
                <w:b/>
                <w:bCs/>
                <w:color w:val="FFFFFF"/>
                <w:sz w:val="17"/>
                <w:szCs w:val="17"/>
              </w:rPr>
              <w:t xml:space="preserve">Study</w:t>
            </w:r>
          </w:p>
        </w:tc>
        <w:tc>
          <w:tcPr>
            <w:tcW w:type="dxa" w:w="2600"/>
            <w:shd w:fill="1F4E79" w:val="clear"/>
            <w:tcMar>
              <w:top w:type="dxa" w:w="60"/>
              <w:left w:type="dxa" w:w="80"/>
              <w:bottom w:type="dxa" w:w="60"/>
              <w:right w:type="dxa" w:w="80"/>
            </w:tcMar>
          </w:tcPr>
          <w:p>
            <w:pPr>
              <w:jc w:val="center"/>
            </w:pPr>
            <w:r>
              <w:rPr>
                <w:b/>
                <w:bCs/>
                <w:color w:val="FFFFFF"/>
                <w:sz w:val="17"/>
                <w:szCs w:val="17"/>
              </w:rPr>
              <w:t xml:space="preserve">Dataset Used</w:t>
            </w:r>
          </w:p>
        </w:tc>
        <w:tc>
          <w:tcPr>
            <w:tcW w:type="dxa" w:w="2000"/>
            <w:shd w:fill="1F4E79" w:val="clear"/>
            <w:tcMar>
              <w:top w:type="dxa" w:w="60"/>
              <w:left w:type="dxa" w:w="80"/>
              <w:bottom w:type="dxa" w:w="60"/>
              <w:right w:type="dxa" w:w="80"/>
            </w:tcMar>
          </w:tcPr>
          <w:p>
            <w:pPr>
              <w:jc w:val="center"/>
            </w:pPr>
            <w:r>
              <w:rPr>
                <w:b/>
                <w:bCs/>
                <w:color w:val="FFFFFF"/>
                <w:sz w:val="17"/>
                <w:szCs w:val="17"/>
              </w:rPr>
              <w:t xml:space="preserve">Scale</w:t>
            </w:r>
          </w:p>
        </w:tc>
        <w:tc>
          <w:tcPr>
            <w:tcW w:type="dxa" w:w="1560"/>
            <w:shd w:fill="1F4E79" w:val="clear"/>
            <w:tcMar>
              <w:top w:type="dxa" w:w="60"/>
              <w:left w:type="dxa" w:w="80"/>
              <w:bottom w:type="dxa" w:w="60"/>
              <w:right w:type="dxa" w:w="80"/>
            </w:tcMar>
          </w:tcPr>
          <w:p>
            <w:pPr>
              <w:jc w:val="center"/>
            </w:pPr>
            <w:r>
              <w:rPr>
                <w:b/>
                <w:bCs/>
                <w:color w:val="FFFFFF"/>
                <w:sz w:val="17"/>
                <w:szCs w:val="17"/>
              </w:rPr>
              <w:t xml:space="preserve">Key Comparison Point</w:t>
            </w:r>
          </w:p>
        </w:tc>
      </w:tr>
      <w:tr>
        <w:tc>
          <w:tcPr>
            <w:tcW w:type="dxa" w:w="3200"/>
            <w:shd w:fill="FFFFFF" w:val="clear"/>
            <w:tcMar>
              <w:top w:type="dxa" w:w="45"/>
              <w:left w:type="dxa" w:w="80"/>
              <w:bottom w:type="dxa" w:w="45"/>
              <w:right w:type="dxa" w:w="80"/>
            </w:tcMar>
          </w:tcPr>
          <w:p>
            <w:pPr>
              <w:jc w:val="left"/>
            </w:pPr>
            <w:r>
              <w:rPr>
                <w:b w:val="false"/>
                <w:bCs w:val="false"/>
                <w:color w:val="222222"/>
                <w:sz w:val="17"/>
                <w:szCs w:val="17"/>
              </w:rPr>
              <w:t xml:space="preserve">Poterucha, Elias et al., Nature 2025;644:221-230</w:t>
            </w:r>
          </w:p>
        </w:tc>
        <w:tc>
          <w:tcPr>
            <w:tcW w:type="dxa" w:w="2600"/>
            <w:shd w:fill="FFFFFF" w:val="clear"/>
            <w:tcMar>
              <w:top w:type="dxa" w:w="45"/>
              <w:left w:type="dxa" w:w="80"/>
              <w:bottom w:type="dxa" w:w="45"/>
              <w:right w:type="dxa" w:w="80"/>
            </w:tcMar>
          </w:tcPr>
          <w:p>
            <w:pPr>
              <w:jc w:val="center"/>
            </w:pPr>
            <w:r>
              <w:rPr>
                <w:b w:val="false"/>
                <w:bCs w:val="false"/>
                <w:color w:val="222222"/>
                <w:sz w:val="17"/>
                <w:szCs w:val="17"/>
              </w:rPr>
              <w:t xml:space="preserve">Original EchoNext (full)</w:t>
            </w:r>
          </w:p>
        </w:tc>
        <w:tc>
          <w:tcPr>
            <w:tcW w:type="dxa" w:w="2000"/>
            <w:shd w:fill="FFFFFF" w:val="clear"/>
            <w:tcMar>
              <w:top w:type="dxa" w:w="45"/>
              <w:left w:type="dxa" w:w="80"/>
              <w:bottom w:type="dxa" w:w="45"/>
              <w:right w:type="dxa" w:w="80"/>
            </w:tcMar>
          </w:tcPr>
          <w:p>
            <w:pPr>
              <w:jc w:val="center"/>
            </w:pPr>
            <w:r>
              <w:rPr>
                <w:b w:val="false"/>
                <w:bCs w:val="false"/>
                <w:color w:val="222222"/>
                <w:sz w:val="17"/>
                <w:szCs w:val="17"/>
              </w:rPr>
              <w:t xml:space="preserve">1,245,273 ECG-echo pairs, 8 hospitals</w:t>
            </w:r>
          </w:p>
        </w:tc>
        <w:tc>
          <w:tcPr>
            <w:tcW w:type="dxa" w:w="1560"/>
            <w:shd w:fill="FFFFFF" w:val="clear"/>
            <w:tcMar>
              <w:top w:type="dxa" w:w="45"/>
              <w:left w:type="dxa" w:w="80"/>
              <w:bottom w:type="dxa" w:w="45"/>
              <w:right w:type="dxa" w:w="80"/>
            </w:tcMar>
          </w:tcPr>
          <w:p>
            <w:pPr>
              <w:jc w:val="center"/>
            </w:pPr>
            <w:r>
              <w:rPr>
                <w:b w:val="false"/>
                <w:bCs w:val="false"/>
                <w:color w:val="222222"/>
                <w:sz w:val="17"/>
                <w:szCs w:val="17"/>
              </w:rPr>
              <w:t xml:space="preserve">LVEF≤45 AUROC 90.4 (their strongest individual result)</w:t>
            </w:r>
          </w:p>
        </w:tc>
      </w:tr>
      <w:tr>
        <w:tc>
          <w:tcPr>
            <w:tcW w:type="dxa" w:w="3200"/>
            <w:shd w:fill="F2F6FB" w:val="clear"/>
            <w:tcMar>
              <w:top w:type="dxa" w:w="45"/>
              <w:left w:type="dxa" w:w="80"/>
              <w:bottom w:type="dxa" w:w="45"/>
              <w:right w:type="dxa" w:w="80"/>
            </w:tcMar>
          </w:tcPr>
          <w:p>
            <w:pPr>
              <w:jc w:val="left"/>
            </w:pPr>
            <w:r>
              <w:rPr>
                <w:b w:val="false"/>
                <w:bCs w:val="false"/>
                <w:color w:val="222222"/>
                <w:sz w:val="17"/>
                <w:szCs w:val="17"/>
              </w:rPr>
              <w:t xml:space="preserve">Hughes, Jing, Finer...Elias, NEJM AI 2026</w:t>
            </w:r>
          </w:p>
        </w:tc>
        <w:tc>
          <w:tcPr>
            <w:tcW w:type="dxa" w:w="2600"/>
            <w:shd w:fill="F2F6FB" w:val="clear"/>
            <w:tcMar>
              <w:top w:type="dxa" w:w="45"/>
              <w:left w:type="dxa" w:w="80"/>
              <w:bottom w:type="dxa" w:w="45"/>
              <w:right w:type="dxa" w:w="80"/>
            </w:tcMar>
          </w:tcPr>
          <w:p>
            <w:pPr>
              <w:jc w:val="center"/>
            </w:pPr>
            <w:r>
              <w:rPr>
                <w:b/>
                <w:bCs/>
                <w:color w:val="222222"/>
                <w:sz w:val="17"/>
                <w:szCs w:val="17"/>
              </w:rPr>
              <w:t xml:space="preserve">EchoNext-Mini (same dataset used in this project)</w:t>
            </w:r>
          </w:p>
        </w:tc>
        <w:tc>
          <w:tcPr>
            <w:tcW w:type="dxa" w:w="2000"/>
            <w:shd w:fill="F2F6FB" w:val="clear"/>
            <w:tcMar>
              <w:top w:type="dxa" w:w="45"/>
              <w:left w:type="dxa" w:w="80"/>
              <w:bottom w:type="dxa" w:w="45"/>
              <w:right w:type="dxa" w:w="80"/>
            </w:tcMar>
          </w:tcPr>
          <w:p>
            <w:pPr>
              <w:jc w:val="center"/>
            </w:pPr>
            <w:r>
              <w:rPr>
                <w:b w:val="false"/>
                <w:bCs w:val="false"/>
                <w:color w:val="222222"/>
                <w:sz w:val="17"/>
                <w:szCs w:val="17"/>
              </w:rPr>
              <w:t xml:space="preserve">100,000 ECGs, 1 institution</w:t>
            </w:r>
          </w:p>
        </w:tc>
        <w:tc>
          <w:tcPr>
            <w:tcW w:type="dxa" w:w="1560"/>
            <w:shd w:fill="F2F6FB" w:val="clear"/>
            <w:tcMar>
              <w:top w:type="dxa" w:w="45"/>
              <w:left w:type="dxa" w:w="80"/>
              <w:bottom w:type="dxa" w:w="45"/>
              <w:right w:type="dxa" w:w="80"/>
            </w:tcMar>
          </w:tcPr>
          <w:p>
            <w:pPr>
              <w:jc w:val="center"/>
            </w:pPr>
            <w:r>
              <w:rPr>
                <w:b w:val="false"/>
                <w:bCs w:val="false"/>
                <w:color w:val="222222"/>
                <w:sz w:val="17"/>
                <w:szCs w:val="17"/>
              </w:rPr>
              <w:t xml:space="preserve">Composite SHD AUROC 82.0, AUPRC 78.9</w:t>
            </w:r>
          </w:p>
        </w:tc>
      </w:tr>
      <w:tr>
        <w:tc>
          <w:tcPr>
            <w:tcW w:type="dxa" w:w="3200"/>
            <w:shd w:fill="FFFFFF" w:val="clear"/>
            <w:tcMar>
              <w:top w:type="dxa" w:w="45"/>
              <w:left w:type="dxa" w:w="80"/>
              <w:bottom w:type="dxa" w:w="45"/>
              <w:right w:type="dxa" w:w="80"/>
            </w:tcMar>
          </w:tcPr>
          <w:p>
            <w:pPr>
              <w:jc w:val="left"/>
            </w:pPr>
            <w:r>
              <w:rPr>
                <w:b/>
                <w:bCs/>
                <w:color w:val="222222"/>
                <w:sz w:val="17"/>
                <w:szCs w:val="17"/>
              </w:rPr>
              <w:t xml:space="preserve">Do, Do, Nguyen et al., arXiv:2604.23385 (Canadian AI 2026)</w:t>
            </w:r>
          </w:p>
        </w:tc>
        <w:tc>
          <w:tcPr>
            <w:tcW w:type="dxa" w:w="2600"/>
            <w:shd w:fill="FFFFFF" w:val="clear"/>
            <w:tcMar>
              <w:top w:type="dxa" w:w="45"/>
              <w:left w:type="dxa" w:w="80"/>
              <w:bottom w:type="dxa" w:w="45"/>
              <w:right w:type="dxa" w:w="80"/>
            </w:tcMar>
          </w:tcPr>
          <w:p>
            <w:pPr>
              <w:jc w:val="center"/>
            </w:pPr>
            <w:r>
              <w:rPr>
                <w:b/>
                <w:bCs/>
                <w:color w:val="222222"/>
                <w:sz w:val="17"/>
                <w:szCs w:val="17"/>
              </w:rPr>
              <w:t xml:space="preserve">EchoNext-Mini (same dataset, same splits)</w:t>
            </w:r>
          </w:p>
        </w:tc>
        <w:tc>
          <w:tcPr>
            <w:tcW w:type="dxa" w:w="2000"/>
            <w:shd w:fill="FFFFFF" w:val="clear"/>
            <w:tcMar>
              <w:top w:type="dxa" w:w="45"/>
              <w:left w:type="dxa" w:w="80"/>
              <w:bottom w:type="dxa" w:w="45"/>
              <w:right w:type="dxa" w:w="80"/>
            </w:tcMar>
          </w:tcPr>
          <w:p>
            <w:pPr>
              <w:jc w:val="center"/>
            </w:pPr>
            <w:r>
              <w:rPr>
                <w:b w:val="false"/>
                <w:bCs w:val="false"/>
                <w:color w:val="222222"/>
                <w:sz w:val="17"/>
                <w:szCs w:val="17"/>
              </w:rPr>
              <w:t xml:space="preserve">Same 72,475/4,626/5,442 split</w:t>
            </w:r>
          </w:p>
        </w:tc>
        <w:tc>
          <w:tcPr>
            <w:tcW w:type="dxa" w:w="1560"/>
            <w:shd w:fill="FFFFFF" w:val="clear"/>
            <w:tcMar>
              <w:top w:type="dxa" w:w="45"/>
              <w:left w:type="dxa" w:w="80"/>
              <w:bottom w:type="dxa" w:w="45"/>
              <w:right w:type="dxa" w:w="80"/>
            </w:tcMar>
          </w:tcPr>
          <w:p>
            <w:pPr>
              <w:jc w:val="center"/>
            </w:pPr>
            <w:r>
              <w:rPr>
                <w:b/>
                <w:bCs/>
                <w:color w:val="222222"/>
                <w:sz w:val="17"/>
                <w:szCs w:val="17"/>
              </w:rPr>
              <w:t xml:space="preserve">LVEF≤45 via fine-tuned ECG-FM: AUROC 0.904 (b=9)</w:t>
            </w:r>
          </w:p>
        </w:tc>
      </w:tr>
    </w:tbl>
    <w:p>
      <w:pPr>
        <w:spacing w:after="50"/>
      </w:pPr>
    </w:p>
    <w:p>
      <w:pPr>
        <w:spacing w:after="120" w:line="276"/>
      </w:pPr>
      <w:r>
        <w:t xml:space="preserve">The third study is the most directly comparable: it uses the identical EchoNext-Mini dataset and identical train/val/test partitions used throughout this project, and independently fine-tunes the same ECG-FM foundation model used for this project's 12-lead work.</w:t>
      </w:r>
    </w:p>
    <w:p>
      <w:r>
        <w:br w:type="page"/>
      </w:r>
    </w:p>
    <w:p>
      <w:pPr>
        <w:pStyle w:val="Heading1"/>
        <w:spacing w:after="130" w:before="320"/>
      </w:pPr>
      <w:r>
        <w:rPr>
          <w:b/>
          <w:bCs/>
          <w:color w:val="1F4E79"/>
        </w:rPr>
        <w:t xml:space="preserve">3. 12-Lead Model — Results and Comparison</w:t>
      </w:r>
    </w:p>
    <w:p>
      <w:pPr>
        <w:pStyle w:val="Heading2"/>
        <w:spacing w:after="100" w:before="220"/>
      </w:pPr>
      <w:r>
        <w:rPr>
          <w:b/>
          <w:bCs/>
          <w:color w:val="2E74B5"/>
        </w:rPr>
        <w:t xml:space="preserve">3.1 This project's confirmed result</w:t>
      </w:r>
    </w:p>
    <w:p>
      <w:pPr>
        <w:spacing w:after="30"/>
      </w:pPr>
    </w:p>
    <w:tbl>
      <w:tblPr>
        <w:tblW w:type="dxa" w:w="9360"/>
        <w:tblBorders>
          <w:top w:val="single" w:color="AAB6C4" w:sz="2"/>
          <w:left w:val="none"/>
          <w:bottom w:val="single" w:color="AAB6C4" w:sz="2"/>
          <w:right w:val="none"/>
          <w:insideH w:val="single" w:color="D6DEE8" w:sz="1"/>
          <w:insideV w:val="single" w:color="D6DEE8" w:sz="1"/>
        </w:tblBorders>
      </w:tblPr>
      <w:tblGrid>
        <w:gridCol w:w="4600"/>
        <w:gridCol w:w="4760"/>
      </w:tblGrid>
      <w:tr>
        <w:trPr>
          <w:tblHeader/>
        </w:trPr>
        <w:tc>
          <w:tcPr>
            <w:tcW w:type="dxa" w:w="4600"/>
            <w:shd w:fill="1F4E79" w:val="clear"/>
            <w:tcMar>
              <w:top w:type="dxa" w:w="60"/>
              <w:left w:type="dxa" w:w="80"/>
              <w:bottom w:type="dxa" w:w="60"/>
              <w:right w:type="dxa" w:w="80"/>
            </w:tcMar>
          </w:tcPr>
          <w:p>
            <w:pPr>
              <w:jc w:val="left"/>
            </w:pPr>
            <w:r>
              <w:rPr>
                <w:b/>
                <w:bCs/>
                <w:color w:val="FFFFFF"/>
                <w:sz w:val="17"/>
                <w:szCs w:val="17"/>
              </w:rPr>
              <w:t xml:space="preserve">Metric</w:t>
            </w:r>
          </w:p>
        </w:tc>
        <w:tc>
          <w:tcPr>
            <w:tcW w:type="dxa" w:w="4760"/>
            <w:shd w:fill="1F4E79" w:val="clear"/>
            <w:tcMar>
              <w:top w:type="dxa" w:w="60"/>
              <w:left w:type="dxa" w:w="80"/>
              <w:bottom w:type="dxa" w:w="60"/>
              <w:right w:type="dxa" w:w="80"/>
            </w:tcMar>
          </w:tcPr>
          <w:p>
            <w:pPr>
              <w:jc w:val="center"/>
            </w:pPr>
            <w:r>
              <w:rPr>
                <w:b/>
                <w:bCs/>
                <w:color w:val="FFFFFF"/>
                <w:sz w:val="17"/>
                <w:szCs w:val="17"/>
              </w:rPr>
              <w:t xml:space="preserve">Value</w:t>
            </w:r>
          </w:p>
        </w:tc>
      </w:tr>
      <w:tr>
        <w:tc>
          <w:tcPr>
            <w:tcW w:type="dxa" w:w="4600"/>
            <w:shd w:fill="FFFFFF" w:val="clear"/>
            <w:tcMar>
              <w:top w:type="dxa" w:w="45"/>
              <w:left w:type="dxa" w:w="80"/>
              <w:bottom w:type="dxa" w:w="45"/>
              <w:right w:type="dxa" w:w="80"/>
            </w:tcMar>
          </w:tcPr>
          <w:p>
            <w:pPr>
              <w:jc w:val="left"/>
            </w:pPr>
            <w:r>
              <w:rPr>
                <w:b w:val="false"/>
                <w:bCs w:val="false"/>
                <w:color w:val="222222"/>
                <w:sz w:val="17"/>
                <w:szCs w:val="17"/>
              </w:rPr>
              <w:t xml:space="preserve">Target</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HFrEF (LVEF ≤ 35%, severe)</w:t>
            </w:r>
          </w:p>
        </w:tc>
      </w:tr>
      <w:tr>
        <w:tc>
          <w:tcPr>
            <w:tcW w:type="dxa" w:w="4600"/>
            <w:shd w:fill="F2F6FB" w:val="clear"/>
            <w:tcMar>
              <w:top w:type="dxa" w:w="45"/>
              <w:left w:type="dxa" w:w="80"/>
              <w:bottom w:type="dxa" w:w="45"/>
              <w:right w:type="dxa" w:w="80"/>
            </w:tcMar>
          </w:tcPr>
          <w:p>
            <w:pPr>
              <w:jc w:val="left"/>
            </w:pPr>
            <w:r>
              <w:rPr>
                <w:b w:val="false"/>
                <w:bCs w:val="false"/>
                <w:color w:val="222222"/>
                <w:sz w:val="17"/>
                <w:szCs w:val="17"/>
              </w:rPr>
              <w:t xml:space="preserve">Training data</w:t>
            </w:r>
          </w:p>
        </w:tc>
        <w:tc>
          <w:tcPr>
            <w:tcW w:type="dxa" w:w="4760"/>
            <w:shd w:fill="F2F6FB" w:val="clear"/>
            <w:tcMar>
              <w:top w:type="dxa" w:w="45"/>
              <w:left w:type="dxa" w:w="80"/>
              <w:bottom w:type="dxa" w:w="45"/>
              <w:right w:type="dxa" w:w="80"/>
            </w:tcMar>
          </w:tcPr>
          <w:p>
            <w:pPr>
              <w:jc w:val="center"/>
            </w:pPr>
            <w:r>
              <w:rPr>
                <w:b w:val="false"/>
                <w:bCs w:val="false"/>
                <w:color w:val="222222"/>
                <w:sz w:val="17"/>
                <w:szCs w:val="17"/>
              </w:rPr>
              <w:t xml:space="preserve">Full 72,475-patient EchoNext-Mini train split</w:t>
            </w:r>
          </w:p>
        </w:tc>
      </w:tr>
      <w:tr>
        <w:tc>
          <w:tcPr>
            <w:tcW w:type="dxa" w:w="4600"/>
            <w:shd w:fill="FFFFFF" w:val="clear"/>
            <w:tcMar>
              <w:top w:type="dxa" w:w="45"/>
              <w:left w:type="dxa" w:w="80"/>
              <w:bottom w:type="dxa" w:w="45"/>
              <w:right w:type="dxa" w:w="80"/>
            </w:tcMar>
          </w:tcPr>
          <w:p>
            <w:pPr>
              <w:jc w:val="left"/>
            </w:pPr>
            <w:r>
              <w:rPr>
                <w:b/>
                <w:bCs/>
                <w:color w:val="222222"/>
                <w:sz w:val="17"/>
                <w:szCs w:val="17"/>
              </w:rPr>
              <w:t xml:space="preserve">Test AUROC</w:t>
            </w:r>
          </w:p>
        </w:tc>
        <w:tc>
          <w:tcPr>
            <w:tcW w:type="dxa" w:w="4760"/>
            <w:shd w:fill="FFFFFF" w:val="clear"/>
            <w:tcMar>
              <w:top w:type="dxa" w:w="45"/>
              <w:left w:type="dxa" w:w="80"/>
              <w:bottom w:type="dxa" w:w="45"/>
              <w:right w:type="dxa" w:w="80"/>
            </w:tcMar>
          </w:tcPr>
          <w:p>
            <w:pPr>
              <w:jc w:val="center"/>
            </w:pPr>
            <w:r>
              <w:rPr>
                <w:b/>
                <w:bCs/>
                <w:color w:val="2E7D32"/>
                <w:sz w:val="17"/>
                <w:szCs w:val="17"/>
              </w:rPr>
              <w:t xml:space="preserve">0.9080</w:t>
            </w:r>
          </w:p>
        </w:tc>
      </w:tr>
      <w:tr>
        <w:tc>
          <w:tcPr>
            <w:tcW w:type="dxa" w:w="4600"/>
            <w:shd w:fill="F2F6FB" w:val="clear"/>
            <w:tcMar>
              <w:top w:type="dxa" w:w="45"/>
              <w:left w:type="dxa" w:w="80"/>
              <w:bottom w:type="dxa" w:w="45"/>
              <w:right w:type="dxa" w:w="80"/>
            </w:tcMar>
          </w:tcPr>
          <w:p>
            <w:pPr>
              <w:jc w:val="left"/>
            </w:pPr>
            <w:r>
              <w:rPr>
                <w:b w:val="false"/>
                <w:bCs w:val="false"/>
                <w:color w:val="222222"/>
                <w:sz w:val="17"/>
                <w:szCs w:val="17"/>
              </w:rPr>
              <w:t xml:space="preserve">Test AUPRC</w:t>
            </w:r>
          </w:p>
        </w:tc>
        <w:tc>
          <w:tcPr>
            <w:tcW w:type="dxa" w:w="4760"/>
            <w:shd w:fill="F2F6FB" w:val="clear"/>
            <w:tcMar>
              <w:top w:type="dxa" w:w="45"/>
              <w:left w:type="dxa" w:w="80"/>
              <w:bottom w:type="dxa" w:w="45"/>
              <w:right w:type="dxa" w:w="80"/>
            </w:tcMar>
          </w:tcPr>
          <w:p>
            <w:pPr>
              <w:jc w:val="center"/>
            </w:pPr>
            <w:r>
              <w:rPr>
                <w:b w:val="false"/>
                <w:bCs w:val="false"/>
                <w:color w:val="222222"/>
                <w:sz w:val="17"/>
                <w:szCs w:val="17"/>
              </w:rPr>
              <w:t xml:space="preserve">0.676</w:t>
            </w:r>
          </w:p>
        </w:tc>
      </w:tr>
      <w:tr>
        <w:tc>
          <w:tcPr>
            <w:tcW w:type="dxa" w:w="4600"/>
            <w:shd w:fill="FFFFFF" w:val="clear"/>
            <w:tcMar>
              <w:top w:type="dxa" w:w="45"/>
              <w:left w:type="dxa" w:w="80"/>
              <w:bottom w:type="dxa" w:w="45"/>
              <w:right w:type="dxa" w:w="80"/>
            </w:tcMar>
          </w:tcPr>
          <w:p>
            <w:pPr>
              <w:jc w:val="left"/>
            </w:pPr>
            <w:r>
              <w:rPr>
                <w:b w:val="false"/>
                <w:bCs w:val="false"/>
                <w:color w:val="222222"/>
                <w:sz w:val="17"/>
                <w:szCs w:val="17"/>
              </w:rPr>
              <w:t xml:space="preserve">Test sensitivity / specificity</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83.3% / 85.3%</w:t>
            </w:r>
          </w:p>
        </w:tc>
      </w:tr>
    </w:tbl>
    <w:p>
      <w:pPr>
        <w:pStyle w:val="Heading2"/>
        <w:spacing w:after="100" w:before="220"/>
      </w:pPr>
      <w:r>
        <w:rPr>
          <w:b/>
          <w:bCs/>
          <w:color w:val="2E74B5"/>
        </w:rPr>
        <w:t xml:space="preserve">3.2 Comparison across all three studies</w:t>
      </w:r>
    </w:p>
    <w:p>
      <w:pPr>
        <w:spacing w:after="30"/>
      </w:pPr>
    </w:p>
    <w:tbl>
      <w:tblPr>
        <w:tblW w:type="dxa" w:w="9360"/>
        <w:tblBorders>
          <w:top w:val="single" w:color="AAB6C4" w:sz="2"/>
          <w:left w:val="none"/>
          <w:bottom w:val="single" w:color="AAB6C4" w:sz="2"/>
          <w:right w:val="none"/>
          <w:insideH w:val="single" w:color="D6DEE8" w:sz="1"/>
          <w:insideV w:val="single" w:color="D6DEE8" w:sz="1"/>
        </w:tblBorders>
      </w:tblPr>
      <w:tblGrid>
        <w:gridCol w:w="3600"/>
        <w:gridCol w:w="1800"/>
        <w:gridCol w:w="2860"/>
        <w:gridCol w:w="1100"/>
      </w:tblGrid>
      <w:tr>
        <w:trPr>
          <w:tblHeader/>
        </w:trPr>
        <w:tc>
          <w:tcPr>
            <w:tcW w:type="dxa" w:w="3600"/>
            <w:shd w:fill="1F4E79" w:val="clear"/>
            <w:tcMar>
              <w:top w:type="dxa" w:w="60"/>
              <w:left w:type="dxa" w:w="80"/>
              <w:bottom w:type="dxa" w:w="60"/>
              <w:right w:type="dxa" w:w="80"/>
            </w:tcMar>
          </w:tcPr>
          <w:p>
            <w:pPr>
              <w:jc w:val="left"/>
            </w:pPr>
            <w:r>
              <w:rPr>
                <w:b/>
                <w:bCs/>
                <w:color w:val="FFFFFF"/>
                <w:sz w:val="17"/>
                <w:szCs w:val="17"/>
              </w:rPr>
              <w:t xml:space="preserve">Source</w:t>
            </w:r>
          </w:p>
        </w:tc>
        <w:tc>
          <w:tcPr>
            <w:tcW w:type="dxa" w:w="1800"/>
            <w:shd w:fill="1F4E79" w:val="clear"/>
            <w:tcMar>
              <w:top w:type="dxa" w:w="60"/>
              <w:left w:type="dxa" w:w="80"/>
              <w:bottom w:type="dxa" w:w="60"/>
              <w:right w:type="dxa" w:w="80"/>
            </w:tcMar>
          </w:tcPr>
          <w:p>
            <w:pPr>
              <w:jc w:val="center"/>
            </w:pPr>
            <w:r>
              <w:rPr>
                <w:b/>
                <w:bCs/>
                <w:color w:val="FFFFFF"/>
                <w:sz w:val="17"/>
                <w:szCs w:val="17"/>
              </w:rPr>
              <w:t xml:space="preserve">LVEF threshold</w:t>
            </w:r>
          </w:p>
        </w:tc>
        <w:tc>
          <w:tcPr>
            <w:tcW w:type="dxa" w:w="2860"/>
            <w:shd w:fill="1F4E79" w:val="clear"/>
            <w:tcMar>
              <w:top w:type="dxa" w:w="60"/>
              <w:left w:type="dxa" w:w="80"/>
              <w:bottom w:type="dxa" w:w="60"/>
              <w:right w:type="dxa" w:w="80"/>
            </w:tcMar>
          </w:tcPr>
          <w:p>
            <w:pPr>
              <w:jc w:val="center"/>
            </w:pPr>
            <w:r>
              <w:rPr>
                <w:b/>
                <w:bCs/>
                <w:color w:val="FFFFFF"/>
                <w:sz w:val="17"/>
                <w:szCs w:val="17"/>
              </w:rPr>
              <w:t xml:space="preserve">Scale / leads</w:t>
            </w:r>
          </w:p>
        </w:tc>
        <w:tc>
          <w:tcPr>
            <w:tcW w:type="dxa" w:w="1100"/>
            <w:shd w:fill="1F4E79" w:val="clear"/>
            <w:tcMar>
              <w:top w:type="dxa" w:w="60"/>
              <w:left w:type="dxa" w:w="80"/>
              <w:bottom w:type="dxa" w:w="60"/>
              <w:right w:type="dxa" w:w="80"/>
            </w:tcMar>
          </w:tcPr>
          <w:p>
            <w:pPr>
              <w:jc w:val="center"/>
            </w:pPr>
            <w:r>
              <w:rPr>
                <w:b/>
                <w:bCs/>
                <w:color w:val="FFFFFF"/>
                <w:sz w:val="17"/>
                <w:szCs w:val="17"/>
              </w:rPr>
              <w:t xml:space="preserve">AUROC</w:t>
            </w:r>
          </w:p>
        </w:tc>
      </w:tr>
      <w:tr>
        <w:tc>
          <w:tcPr>
            <w:tcW w:type="dxa" w:w="3600"/>
            <w:shd w:fill="FFFFFF" w:val="clear"/>
            <w:tcMar>
              <w:top w:type="dxa" w:w="45"/>
              <w:left w:type="dxa" w:w="80"/>
              <w:bottom w:type="dxa" w:w="45"/>
              <w:right w:type="dxa" w:w="80"/>
            </w:tcMar>
          </w:tcPr>
          <w:p>
            <w:pPr>
              <w:jc w:val="left"/>
            </w:pPr>
            <w:r>
              <w:rPr>
                <w:b w:val="false"/>
                <w:bCs w:val="false"/>
                <w:color w:val="222222"/>
                <w:sz w:val="17"/>
                <w:szCs w:val="17"/>
              </w:rPr>
              <w:t xml:space="preserve">Nature (original EchoNext)</w:t>
            </w:r>
          </w:p>
        </w:tc>
        <w:tc>
          <w:tcPr>
            <w:tcW w:type="dxa" w:w="1800"/>
            <w:shd w:fill="FFFFFF" w:val="clear"/>
            <w:tcMar>
              <w:top w:type="dxa" w:w="45"/>
              <w:left w:type="dxa" w:w="80"/>
              <w:bottom w:type="dxa" w:w="45"/>
              <w:right w:type="dxa" w:w="80"/>
            </w:tcMar>
          </w:tcPr>
          <w:p>
            <w:pPr>
              <w:jc w:val="center"/>
            </w:pPr>
            <w:r>
              <w:rPr>
                <w:b w:val="false"/>
                <w:bCs w:val="false"/>
                <w:color w:val="222222"/>
                <w:sz w:val="17"/>
                <w:szCs w:val="17"/>
              </w:rPr>
              <w:t xml:space="preserve">≤45%</w:t>
            </w:r>
          </w:p>
        </w:tc>
        <w:tc>
          <w:tcPr>
            <w:tcW w:type="dxa" w:w="2860"/>
            <w:shd w:fill="FFFFFF" w:val="clear"/>
            <w:tcMar>
              <w:top w:type="dxa" w:w="45"/>
              <w:left w:type="dxa" w:w="80"/>
              <w:bottom w:type="dxa" w:w="45"/>
              <w:right w:type="dxa" w:w="80"/>
            </w:tcMar>
          </w:tcPr>
          <w:p>
            <w:pPr>
              <w:jc w:val="center"/>
            </w:pPr>
            <w:r>
              <w:rPr>
                <w:b w:val="false"/>
                <w:bCs w:val="false"/>
                <w:color w:val="222222"/>
                <w:sz w:val="17"/>
                <w:szCs w:val="17"/>
              </w:rPr>
              <w:t xml:space="preserve">1.24M pairs, 8 hospitals, 12-lead</w:t>
            </w:r>
          </w:p>
        </w:tc>
        <w:tc>
          <w:tcPr>
            <w:tcW w:type="dxa" w:w="1100"/>
            <w:shd w:fill="FFFFFF" w:val="clear"/>
            <w:tcMar>
              <w:top w:type="dxa" w:w="45"/>
              <w:left w:type="dxa" w:w="80"/>
              <w:bottom w:type="dxa" w:w="45"/>
              <w:right w:type="dxa" w:w="80"/>
            </w:tcMar>
          </w:tcPr>
          <w:p>
            <w:pPr>
              <w:jc w:val="center"/>
            </w:pPr>
            <w:r>
              <w:rPr>
                <w:b w:val="false"/>
                <w:bCs w:val="false"/>
                <w:color w:val="222222"/>
                <w:sz w:val="17"/>
                <w:szCs w:val="17"/>
              </w:rPr>
              <w:t xml:space="preserve">0.904</w:t>
            </w:r>
          </w:p>
        </w:tc>
      </w:tr>
      <w:tr>
        <w:tc>
          <w:tcPr>
            <w:tcW w:type="dxa" w:w="3600"/>
            <w:shd w:fill="F2F6FB" w:val="clear"/>
            <w:tcMar>
              <w:top w:type="dxa" w:w="45"/>
              <w:left w:type="dxa" w:w="80"/>
              <w:bottom w:type="dxa" w:w="45"/>
              <w:right w:type="dxa" w:w="80"/>
            </w:tcMar>
          </w:tcPr>
          <w:p>
            <w:pPr>
              <w:jc w:val="left"/>
            </w:pPr>
            <w:r>
              <w:rPr>
                <w:b w:val="false"/>
                <w:bCs w:val="false"/>
                <w:color w:val="222222"/>
                <w:sz w:val="17"/>
                <w:szCs w:val="17"/>
              </w:rPr>
              <w:t xml:space="preserve">arXiv domain-adaptation study (b=9)</w:t>
            </w:r>
          </w:p>
        </w:tc>
        <w:tc>
          <w:tcPr>
            <w:tcW w:type="dxa" w:w="1800"/>
            <w:shd w:fill="F2F6FB" w:val="clear"/>
            <w:tcMar>
              <w:top w:type="dxa" w:w="45"/>
              <w:left w:type="dxa" w:w="80"/>
              <w:bottom w:type="dxa" w:w="45"/>
              <w:right w:type="dxa" w:w="80"/>
            </w:tcMar>
          </w:tcPr>
          <w:p>
            <w:pPr>
              <w:jc w:val="center"/>
            </w:pPr>
            <w:r>
              <w:rPr>
                <w:b w:val="false"/>
                <w:bCs w:val="false"/>
                <w:color w:val="222222"/>
                <w:sz w:val="17"/>
                <w:szCs w:val="17"/>
              </w:rPr>
              <w:t xml:space="preserve">≤45%</w:t>
            </w:r>
          </w:p>
        </w:tc>
        <w:tc>
          <w:tcPr>
            <w:tcW w:type="dxa" w:w="2860"/>
            <w:shd w:fill="F2F6FB" w:val="clear"/>
            <w:tcMar>
              <w:top w:type="dxa" w:w="45"/>
              <w:left w:type="dxa" w:w="80"/>
              <w:bottom w:type="dxa" w:w="45"/>
              <w:right w:type="dxa" w:w="80"/>
            </w:tcMar>
          </w:tcPr>
          <w:p>
            <w:pPr>
              <w:jc w:val="center"/>
            </w:pPr>
            <w:r>
              <w:rPr>
                <w:b w:val="false"/>
                <w:bCs w:val="false"/>
                <w:color w:val="222222"/>
                <w:sz w:val="17"/>
                <w:szCs w:val="17"/>
              </w:rPr>
              <w:t xml:space="preserve">72k, 1 institution, 12-lead, same split</w:t>
            </w:r>
          </w:p>
        </w:tc>
        <w:tc>
          <w:tcPr>
            <w:tcW w:type="dxa" w:w="1100"/>
            <w:shd w:fill="F2F6FB" w:val="clear"/>
            <w:tcMar>
              <w:top w:type="dxa" w:w="45"/>
              <w:left w:type="dxa" w:w="80"/>
              <w:bottom w:type="dxa" w:w="45"/>
              <w:right w:type="dxa" w:w="80"/>
            </w:tcMar>
          </w:tcPr>
          <w:p>
            <w:pPr>
              <w:jc w:val="center"/>
            </w:pPr>
            <w:r>
              <w:rPr>
                <w:b w:val="false"/>
                <w:bCs w:val="false"/>
                <w:color w:val="222222"/>
                <w:sz w:val="17"/>
                <w:szCs w:val="17"/>
              </w:rPr>
              <w:t xml:space="preserve">0.9041</w:t>
            </w:r>
          </w:p>
        </w:tc>
      </w:tr>
      <w:tr>
        <w:tc>
          <w:tcPr>
            <w:tcW w:type="dxa" w:w="3600"/>
            <w:shd w:fill="FFFFFF" w:val="clear"/>
            <w:tcMar>
              <w:top w:type="dxa" w:w="45"/>
              <w:left w:type="dxa" w:w="80"/>
              <w:bottom w:type="dxa" w:w="45"/>
              <w:right w:type="dxa" w:w="80"/>
            </w:tcMar>
          </w:tcPr>
          <w:p>
            <w:pPr>
              <w:jc w:val="left"/>
            </w:pPr>
            <w:r>
              <w:rPr>
                <w:b w:val="false"/>
                <w:bCs w:val="false"/>
                <w:color w:val="222222"/>
                <w:sz w:val="17"/>
                <w:szCs w:val="17"/>
              </w:rPr>
              <w:t xml:space="preserve">arXiv domain-adaptation study (b=5)</w:t>
            </w:r>
          </w:p>
        </w:tc>
        <w:tc>
          <w:tcPr>
            <w:tcW w:type="dxa" w:w="1800"/>
            <w:shd w:fill="FFFFFF" w:val="clear"/>
            <w:tcMar>
              <w:top w:type="dxa" w:w="45"/>
              <w:left w:type="dxa" w:w="80"/>
              <w:bottom w:type="dxa" w:w="45"/>
              <w:right w:type="dxa" w:w="80"/>
            </w:tcMar>
          </w:tcPr>
          <w:p>
            <w:pPr>
              <w:jc w:val="center"/>
            </w:pPr>
            <w:r>
              <w:rPr>
                <w:b w:val="false"/>
                <w:bCs w:val="false"/>
                <w:color w:val="222222"/>
                <w:sz w:val="17"/>
                <w:szCs w:val="17"/>
              </w:rPr>
              <w:t xml:space="preserve">≤45%</w:t>
            </w:r>
          </w:p>
        </w:tc>
        <w:tc>
          <w:tcPr>
            <w:tcW w:type="dxa" w:w="2860"/>
            <w:shd w:fill="FFFFFF" w:val="clear"/>
            <w:tcMar>
              <w:top w:type="dxa" w:w="45"/>
              <w:left w:type="dxa" w:w="80"/>
              <w:bottom w:type="dxa" w:w="45"/>
              <w:right w:type="dxa" w:w="80"/>
            </w:tcMar>
          </w:tcPr>
          <w:p>
            <w:pPr>
              <w:jc w:val="center"/>
            </w:pPr>
            <w:r>
              <w:rPr>
                <w:b w:val="false"/>
                <w:bCs w:val="false"/>
                <w:color w:val="222222"/>
                <w:sz w:val="17"/>
                <w:szCs w:val="17"/>
              </w:rPr>
              <w:t xml:space="preserve">72k, 1 institution, 12-lead, same split</w:t>
            </w:r>
          </w:p>
        </w:tc>
        <w:tc>
          <w:tcPr>
            <w:tcW w:type="dxa" w:w="1100"/>
            <w:shd w:fill="FFFFFF" w:val="clear"/>
            <w:tcMar>
              <w:top w:type="dxa" w:w="45"/>
              <w:left w:type="dxa" w:w="80"/>
              <w:bottom w:type="dxa" w:w="45"/>
              <w:right w:type="dxa" w:w="80"/>
            </w:tcMar>
          </w:tcPr>
          <w:p>
            <w:pPr>
              <w:jc w:val="center"/>
            </w:pPr>
            <w:r>
              <w:rPr>
                <w:b w:val="false"/>
                <w:bCs w:val="false"/>
                <w:color w:val="222222"/>
                <w:sz w:val="17"/>
                <w:szCs w:val="17"/>
              </w:rPr>
              <w:t xml:space="preserve">0.9015</w:t>
            </w:r>
          </w:p>
        </w:tc>
      </w:tr>
      <w:tr>
        <w:tc>
          <w:tcPr>
            <w:tcW w:type="dxa" w:w="3600"/>
            <w:shd w:fill="F2F6FB" w:val="clear"/>
            <w:tcMar>
              <w:top w:type="dxa" w:w="45"/>
              <w:left w:type="dxa" w:w="80"/>
              <w:bottom w:type="dxa" w:w="45"/>
              <w:right w:type="dxa" w:w="80"/>
            </w:tcMar>
          </w:tcPr>
          <w:p>
            <w:pPr>
              <w:jc w:val="left"/>
            </w:pPr>
            <w:r>
              <w:rPr>
                <w:b/>
                <w:bCs/>
                <w:color w:val="222222"/>
                <w:sz w:val="17"/>
                <w:szCs w:val="17"/>
              </w:rPr>
              <w:t xml:space="preserve">This project</w:t>
            </w:r>
          </w:p>
        </w:tc>
        <w:tc>
          <w:tcPr>
            <w:tcW w:type="dxa" w:w="1800"/>
            <w:shd w:fill="F2F6FB" w:val="clear"/>
            <w:tcMar>
              <w:top w:type="dxa" w:w="45"/>
              <w:left w:type="dxa" w:w="80"/>
              <w:bottom w:type="dxa" w:w="45"/>
              <w:right w:type="dxa" w:w="80"/>
            </w:tcMar>
          </w:tcPr>
          <w:p>
            <w:pPr>
              <w:jc w:val="center"/>
            </w:pPr>
            <w:r>
              <w:rPr>
                <w:b/>
                <w:bCs/>
                <w:color w:val="222222"/>
                <w:sz w:val="17"/>
                <w:szCs w:val="17"/>
              </w:rPr>
              <w:t xml:space="preserve">≤35% (stricter)</w:t>
            </w:r>
          </w:p>
        </w:tc>
        <w:tc>
          <w:tcPr>
            <w:tcW w:type="dxa" w:w="2860"/>
            <w:shd w:fill="F2F6FB" w:val="clear"/>
            <w:tcMar>
              <w:top w:type="dxa" w:w="45"/>
              <w:left w:type="dxa" w:w="80"/>
              <w:bottom w:type="dxa" w:w="45"/>
              <w:right w:type="dxa" w:w="80"/>
            </w:tcMar>
          </w:tcPr>
          <w:p>
            <w:pPr>
              <w:jc w:val="center"/>
            </w:pPr>
            <w:r>
              <w:rPr>
                <w:b/>
                <w:bCs/>
                <w:color w:val="222222"/>
                <w:sz w:val="17"/>
                <w:szCs w:val="17"/>
              </w:rPr>
              <w:t xml:space="preserve">72k, 1 institution, 12-lead, same split</w:t>
            </w:r>
          </w:p>
        </w:tc>
        <w:tc>
          <w:tcPr>
            <w:tcW w:type="dxa" w:w="1100"/>
            <w:shd w:fill="F2F6FB" w:val="clear"/>
            <w:tcMar>
              <w:top w:type="dxa" w:w="45"/>
              <w:left w:type="dxa" w:w="80"/>
              <w:bottom w:type="dxa" w:w="45"/>
              <w:right w:type="dxa" w:w="80"/>
            </w:tcMar>
          </w:tcPr>
          <w:p>
            <w:pPr>
              <w:jc w:val="center"/>
            </w:pPr>
            <w:r>
              <w:rPr>
                <w:b/>
                <w:bCs/>
                <w:color w:val="2E7D32"/>
                <w:sz w:val="17"/>
                <w:szCs w:val="17"/>
              </w:rPr>
              <w:t xml:space="preserve">0.9080</w:t>
            </w:r>
          </w:p>
        </w:tc>
      </w:tr>
    </w:tbl>
    <w:p>
      <w:pPr>
        <w:spacing w:after="60"/>
      </w:pPr>
    </w:p>
    <w:tbl>
      <w:tblPr>
        <w:tblW w:type="pct" w:w="100%"/>
        <w:tblBorders>
          <w:top w:val="single" w:color="2E74B5" w:sz="2"/>
          <w:left w:val="single" w:color="2E74B5" w:sz="14"/>
          <w:bottom w:val="single" w:color="2E74B5" w:sz="2"/>
          <w:right w:val="single" w:color="2E74B5" w:sz="2"/>
          <w:insideH w:val="none"/>
          <w:insideV w:val="none"/>
        </w:tblBorders>
      </w:tblPr>
      <w:tblGrid>
        <w:gridCol w:w="9360"/>
      </w:tblGrid>
      <w:tr>
        <w:tc>
          <w:tcPr>
            <w:tcW w:type="dxa" w:w="9360"/>
            <w:shd w:fill="EAF1FA" w:val="clear"/>
            <w:tcMar>
              <w:top w:type="dxa" w:w="130"/>
              <w:left w:type="dxa" w:w="190"/>
              <w:bottom w:type="dxa" w:w="130"/>
              <w:right w:type="dxa" w:w="190"/>
            </w:tcMar>
          </w:tcPr>
          <w:p>
            <w:pPr>
              <w:spacing w:after="60"/>
            </w:pPr>
            <w:r>
              <w:rPr>
                <w:b/>
                <w:bCs/>
                <w:color w:val="1F4E79"/>
              </w:rPr>
              <w:t xml:space="preserve">Interpretation</w:t>
            </w:r>
          </w:p>
          <w:p>
            <w:pPr>
              <w:spacing w:after="40" w:line="270"/>
            </w:pPr>
            <w:r>
              <w:t xml:space="preserve">This project's 12-lead AUROC (0.908) is at or slightly above all three published comparators, including an independent, contemporaneous benchmark study (the arXiv paper) using the identical dataset, split, and foundation model. Two caveats are noted for fairness: (1) this project used a stricter LVEF threshold (≤35%) than the two EchoNext-Mini comparators (≤45%), and severe reductions in EF are generally somewhat more ECG-detectable, which may partly explain the modest edge; (2) the Nature study's 0.904 figure comes from a dataset roughly 17× larger, across 8 hospitals, so matching it with 1/17th the data and a single institution is the more notable finding than the raw AUROC comparison alone.</w:t>
            </w:r>
          </w:p>
          <w:p>
            <w:pPr>
              <w:spacing w:after="40" w:line="270"/>
            </w:pPr>
            <w:r>
              <w:rPr>
                <w:b/>
                <w:bCs/>
              </w:rPr>
              <w:t xml:space="preserve">Actionable finding from the arXiv study: </w:t>
            </w:r>
            <w:r>
              <w:t xml:space="preserve">continued in-domain self-supervised adaptation of ECG-FM on EchoNext-Mini's own waveforms, prior to supervised fine-tuning, improved their AUROC from 0.8387 to 0.8501 (+0.0114) in a controlled ablation. This project did not perform this domain-adaptation step and it remains a promising, evidence-backed avenue for further improvement.</w:t>
            </w:r>
          </w:p>
        </w:tc>
      </w:tr>
    </w:tbl>
    <w:p>
      <w:pPr>
        <w:pStyle w:val="Heading1"/>
        <w:spacing w:after="130" w:before="320"/>
      </w:pPr>
      <w:r>
        <w:rPr>
          <w:b/>
          <w:bCs/>
          <w:color w:val="1F4E79"/>
        </w:rPr>
        <w:t xml:space="preserve">4. Single-Lead Model — Results and Comparison</w:t>
      </w:r>
    </w:p>
    <w:p>
      <w:pPr>
        <w:pStyle w:val="Heading2"/>
        <w:spacing w:after="100" w:before="220"/>
      </w:pPr>
      <w:r>
        <w:rPr>
          <w:b/>
          <w:bCs/>
          <w:color w:val="2E74B5"/>
        </w:rPr>
        <w:t xml:space="preserve">4.1 This project's confirmed result</w:t>
      </w:r>
    </w:p>
    <w:p>
      <w:pPr>
        <w:spacing w:after="30"/>
      </w:pPr>
    </w:p>
    <w:tbl>
      <w:tblPr>
        <w:tblW w:type="dxa" w:w="9360"/>
        <w:tblBorders>
          <w:top w:val="single" w:color="AAB6C4" w:sz="2"/>
          <w:left w:val="none"/>
          <w:bottom w:val="single" w:color="AAB6C4" w:sz="2"/>
          <w:right w:val="none"/>
          <w:insideH w:val="single" w:color="D6DEE8" w:sz="1"/>
          <w:insideV w:val="single" w:color="D6DEE8" w:sz="1"/>
        </w:tblBorders>
      </w:tblPr>
      <w:tblGrid>
        <w:gridCol w:w="4600"/>
        <w:gridCol w:w="4760"/>
      </w:tblGrid>
      <w:tr>
        <w:trPr>
          <w:tblHeader/>
        </w:trPr>
        <w:tc>
          <w:tcPr>
            <w:tcW w:type="dxa" w:w="4600"/>
            <w:shd w:fill="1F4E79" w:val="clear"/>
            <w:tcMar>
              <w:top w:type="dxa" w:w="60"/>
              <w:left w:type="dxa" w:w="80"/>
              <w:bottom w:type="dxa" w:w="60"/>
              <w:right w:type="dxa" w:w="80"/>
            </w:tcMar>
          </w:tcPr>
          <w:p>
            <w:pPr>
              <w:jc w:val="left"/>
            </w:pPr>
            <w:r>
              <w:rPr>
                <w:b/>
                <w:bCs/>
                <w:color w:val="FFFFFF"/>
                <w:sz w:val="17"/>
                <w:szCs w:val="17"/>
              </w:rPr>
              <w:t xml:space="preserve">Metric</w:t>
            </w:r>
          </w:p>
        </w:tc>
        <w:tc>
          <w:tcPr>
            <w:tcW w:type="dxa" w:w="4760"/>
            <w:shd w:fill="1F4E79" w:val="clear"/>
            <w:tcMar>
              <w:top w:type="dxa" w:w="60"/>
              <w:left w:type="dxa" w:w="80"/>
              <w:bottom w:type="dxa" w:w="60"/>
              <w:right w:type="dxa" w:w="80"/>
            </w:tcMar>
          </w:tcPr>
          <w:p>
            <w:pPr>
              <w:jc w:val="center"/>
            </w:pPr>
            <w:r>
              <w:rPr>
                <w:b/>
                <w:bCs/>
                <w:color w:val="FFFFFF"/>
                <w:sz w:val="17"/>
                <w:szCs w:val="17"/>
              </w:rPr>
              <w:t xml:space="preserve">Value</w:t>
            </w:r>
          </w:p>
        </w:tc>
      </w:tr>
      <w:tr>
        <w:tc>
          <w:tcPr>
            <w:tcW w:type="dxa" w:w="4600"/>
            <w:shd w:fill="FFFFFF" w:val="clear"/>
            <w:tcMar>
              <w:top w:type="dxa" w:w="45"/>
              <w:left w:type="dxa" w:w="80"/>
              <w:bottom w:type="dxa" w:w="45"/>
              <w:right w:type="dxa" w:w="80"/>
            </w:tcMar>
          </w:tcPr>
          <w:p>
            <w:pPr>
              <w:jc w:val="left"/>
            </w:pPr>
            <w:r>
              <w:rPr>
                <w:b w:val="false"/>
                <w:bCs w:val="false"/>
                <w:color w:val="222222"/>
                <w:sz w:val="17"/>
                <w:szCs w:val="17"/>
              </w:rPr>
              <w:t xml:space="preserve">Target</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HFrEF (LVEF ≤ 35%, severe), multi-target with RV dysfunction/LVH/SHD</w:t>
            </w:r>
          </w:p>
        </w:tc>
      </w:tr>
      <w:tr>
        <w:tc>
          <w:tcPr>
            <w:tcW w:type="dxa" w:w="4600"/>
            <w:shd w:fill="F2F6FB" w:val="clear"/>
            <w:tcMar>
              <w:top w:type="dxa" w:w="45"/>
              <w:left w:type="dxa" w:w="80"/>
              <w:bottom w:type="dxa" w:w="45"/>
              <w:right w:type="dxa" w:w="80"/>
            </w:tcMar>
          </w:tcPr>
          <w:p>
            <w:pPr>
              <w:jc w:val="left"/>
            </w:pPr>
            <w:r>
              <w:rPr>
                <w:b w:val="false"/>
                <w:bCs w:val="false"/>
                <w:color w:val="222222"/>
                <w:sz w:val="17"/>
                <w:szCs w:val="17"/>
              </w:rPr>
              <w:t xml:space="preserve">Architecture</w:t>
            </w:r>
          </w:p>
        </w:tc>
        <w:tc>
          <w:tcPr>
            <w:tcW w:type="dxa" w:w="4760"/>
            <w:shd w:fill="F2F6FB" w:val="clear"/>
            <w:tcMar>
              <w:top w:type="dxa" w:w="45"/>
              <w:left w:type="dxa" w:w="80"/>
              <w:bottom w:type="dxa" w:w="45"/>
              <w:right w:type="dxa" w:w="80"/>
            </w:tcMar>
          </w:tcPr>
          <w:p>
            <w:pPr>
              <w:jc w:val="center"/>
            </w:pPr>
            <w:r>
              <w:rPr>
                <w:b w:val="false"/>
                <w:bCs w:val="false"/>
                <w:color w:val="222222"/>
                <w:sz w:val="17"/>
                <w:szCs w:val="17"/>
              </w:rPr>
              <w:t xml:space="preserve">CNN-Transformer hybrid + 23 path-signature features (novel method)</w:t>
            </w:r>
          </w:p>
        </w:tc>
      </w:tr>
      <w:tr>
        <w:tc>
          <w:tcPr>
            <w:tcW w:type="dxa" w:w="4600"/>
            <w:shd w:fill="FFFFFF" w:val="clear"/>
            <w:tcMar>
              <w:top w:type="dxa" w:w="45"/>
              <w:left w:type="dxa" w:w="80"/>
              <w:bottom w:type="dxa" w:w="45"/>
              <w:right w:type="dxa" w:w="80"/>
            </w:tcMar>
          </w:tcPr>
          <w:p>
            <w:pPr>
              <w:jc w:val="left"/>
            </w:pPr>
            <w:r>
              <w:rPr>
                <w:b w:val="false"/>
                <w:bCs w:val="false"/>
                <w:color w:val="222222"/>
                <w:sz w:val="17"/>
                <w:szCs w:val="17"/>
              </w:rPr>
              <w:t xml:space="preserve">Input</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Single ECG lead (lead II) — matches MAX30001 hardware</w:t>
            </w:r>
          </w:p>
        </w:tc>
      </w:tr>
      <w:tr>
        <w:tc>
          <w:tcPr>
            <w:tcW w:type="dxa" w:w="4600"/>
            <w:shd w:fill="F2F6FB" w:val="clear"/>
            <w:tcMar>
              <w:top w:type="dxa" w:w="45"/>
              <w:left w:type="dxa" w:w="80"/>
              <w:bottom w:type="dxa" w:w="45"/>
              <w:right w:type="dxa" w:w="80"/>
            </w:tcMar>
          </w:tcPr>
          <w:p>
            <w:pPr>
              <w:jc w:val="left"/>
            </w:pPr>
            <w:r>
              <w:rPr>
                <w:b/>
                <w:bCs/>
                <w:color w:val="222222"/>
                <w:sz w:val="17"/>
                <w:szCs w:val="17"/>
              </w:rPr>
              <w:t xml:space="preserve">Test AUROC</w:t>
            </w:r>
          </w:p>
        </w:tc>
        <w:tc>
          <w:tcPr>
            <w:tcW w:type="dxa" w:w="4760"/>
            <w:shd w:fill="F2F6FB" w:val="clear"/>
            <w:tcMar>
              <w:top w:type="dxa" w:w="45"/>
              <w:left w:type="dxa" w:w="80"/>
              <w:bottom w:type="dxa" w:w="45"/>
              <w:right w:type="dxa" w:w="80"/>
            </w:tcMar>
          </w:tcPr>
          <w:p>
            <w:pPr>
              <w:jc w:val="center"/>
            </w:pPr>
            <w:r>
              <w:rPr>
                <w:b/>
                <w:bCs/>
                <w:color w:val="2E7D32"/>
                <w:sz w:val="17"/>
                <w:szCs w:val="17"/>
              </w:rPr>
              <w:t xml:space="preserve">0.852</w:t>
            </w:r>
          </w:p>
        </w:tc>
      </w:tr>
      <w:tr>
        <w:tc>
          <w:tcPr>
            <w:tcW w:type="dxa" w:w="4600"/>
            <w:shd w:fill="FFFFFF" w:val="clear"/>
            <w:tcMar>
              <w:top w:type="dxa" w:w="45"/>
              <w:left w:type="dxa" w:w="80"/>
              <w:bottom w:type="dxa" w:w="45"/>
              <w:right w:type="dxa" w:w="80"/>
            </w:tcMar>
          </w:tcPr>
          <w:p>
            <w:pPr>
              <w:jc w:val="left"/>
            </w:pPr>
            <w:r>
              <w:rPr>
                <w:b w:val="false"/>
                <w:bCs w:val="false"/>
                <w:color w:val="222222"/>
                <w:sz w:val="17"/>
                <w:szCs w:val="17"/>
              </w:rPr>
              <w:t xml:space="preserve">At 70%-sensitivity-matched threshold</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Specificity 82.4%, PPV 36.3%, NPV 95.2%</w:t>
            </w:r>
          </w:p>
        </w:tc>
      </w:tr>
    </w:tbl>
    <w:p>
      <w:pPr>
        <w:pStyle w:val="Heading2"/>
        <w:spacing w:after="100" w:before="220"/>
      </w:pPr>
      <w:r>
        <w:rPr>
          <w:b/>
          <w:bCs/>
          <w:color w:val="2E74B5"/>
        </w:rPr>
        <w:t xml:space="preserve">4.2 Comparison to EchoNext-Mini (composite SHD, matched protocol)</w:t>
      </w:r>
    </w:p>
    <w:p>
      <w:pPr>
        <w:spacing w:after="30"/>
      </w:pPr>
    </w:p>
    <w:tbl>
      <w:tblPr>
        <w:tblW w:type="dxa" w:w="9360"/>
        <w:tblBorders>
          <w:top w:val="single" w:color="AAB6C4" w:sz="2"/>
          <w:left w:val="none"/>
          <w:bottom w:val="single" w:color="AAB6C4" w:sz="2"/>
          <w:right w:val="none"/>
          <w:insideH w:val="single" w:color="D6DEE8" w:sz="1"/>
          <w:insideV w:val="single" w:color="D6DEE8" w:sz="1"/>
        </w:tblBorders>
      </w:tblPr>
      <w:tblGrid>
        <w:gridCol w:w="2600"/>
        <w:gridCol w:w="3600"/>
        <w:gridCol w:w="3160"/>
      </w:tblGrid>
      <w:tr>
        <w:trPr>
          <w:tblHeader/>
        </w:trPr>
        <w:tc>
          <w:tcPr>
            <w:tcW w:type="dxa" w:w="2600"/>
            <w:shd w:fill="1F4E79" w:val="clear"/>
            <w:tcMar>
              <w:top w:type="dxa" w:w="60"/>
              <w:left w:type="dxa" w:w="80"/>
              <w:bottom w:type="dxa" w:w="60"/>
              <w:right w:type="dxa" w:w="80"/>
            </w:tcMar>
          </w:tcPr>
          <w:p>
            <w:pPr>
              <w:jc w:val="left"/>
            </w:pPr>
            <w:r>
              <w:rPr>
                <w:b/>
                <w:bCs/>
                <w:color w:val="FFFFFF"/>
                <w:sz w:val="17"/>
                <w:szCs w:val="17"/>
              </w:rPr>
              <w:t xml:space="preserve">Metric</w:t>
            </w:r>
          </w:p>
        </w:tc>
        <w:tc>
          <w:tcPr>
            <w:tcW w:type="dxa" w:w="3600"/>
            <w:shd w:fill="1F4E79" w:val="clear"/>
            <w:tcMar>
              <w:top w:type="dxa" w:w="60"/>
              <w:left w:type="dxa" w:w="80"/>
              <w:bottom w:type="dxa" w:w="60"/>
              <w:right w:type="dxa" w:w="80"/>
            </w:tcMar>
          </w:tcPr>
          <w:p>
            <w:pPr>
              <w:jc w:val="center"/>
            </w:pPr>
            <w:r>
              <w:rPr>
                <w:b/>
                <w:bCs/>
                <w:color w:val="FFFFFF"/>
                <w:sz w:val="17"/>
                <w:szCs w:val="17"/>
              </w:rPr>
              <w:t xml:space="preserve">EchoNext-Mini (composite SHD, 12-lead)</w:t>
            </w:r>
          </w:p>
        </w:tc>
        <w:tc>
          <w:tcPr>
            <w:tcW w:type="dxa" w:w="3160"/>
            <w:shd w:fill="1F4E79" w:val="clear"/>
            <w:tcMar>
              <w:top w:type="dxa" w:w="60"/>
              <w:left w:type="dxa" w:w="80"/>
              <w:bottom w:type="dxa" w:w="60"/>
              <w:right w:type="dxa" w:w="80"/>
            </w:tcMar>
          </w:tcPr>
          <w:p>
            <w:pPr>
              <w:jc w:val="center"/>
            </w:pPr>
            <w:r>
              <w:rPr>
                <w:b/>
                <w:bCs/>
                <w:color w:val="FFFFFF"/>
                <w:sz w:val="17"/>
                <w:szCs w:val="17"/>
              </w:rPr>
              <w:t xml:space="preserve">This Model (HFrEF, single-lead)</w:t>
            </w:r>
          </w:p>
        </w:tc>
      </w:tr>
      <w:tr>
        <w:tc>
          <w:tcPr>
            <w:tcW w:type="dxa" w:w="2600"/>
            <w:shd w:fill="FFFFFF" w:val="clear"/>
            <w:tcMar>
              <w:top w:type="dxa" w:w="45"/>
              <w:left w:type="dxa" w:w="80"/>
              <w:bottom w:type="dxa" w:w="45"/>
              <w:right w:type="dxa" w:w="80"/>
            </w:tcMar>
          </w:tcPr>
          <w:p>
            <w:pPr>
              <w:jc w:val="left"/>
            </w:pPr>
            <w:r>
              <w:rPr>
                <w:b w:val="false"/>
                <w:bCs w:val="false"/>
                <w:color w:val="222222"/>
                <w:sz w:val="17"/>
                <w:szCs w:val="17"/>
              </w:rPr>
              <w:t xml:space="preserve">AUROC</w:t>
            </w:r>
          </w:p>
        </w:tc>
        <w:tc>
          <w:tcPr>
            <w:tcW w:type="dxa" w:w="3600"/>
            <w:shd w:fill="FFFFFF" w:val="clear"/>
            <w:tcMar>
              <w:top w:type="dxa" w:w="45"/>
              <w:left w:type="dxa" w:w="80"/>
              <w:bottom w:type="dxa" w:w="45"/>
              <w:right w:type="dxa" w:w="80"/>
            </w:tcMar>
          </w:tcPr>
          <w:p>
            <w:pPr>
              <w:jc w:val="center"/>
            </w:pPr>
            <w:r>
              <w:rPr>
                <w:b w:val="false"/>
                <w:bCs w:val="false"/>
                <w:color w:val="222222"/>
                <w:sz w:val="17"/>
                <w:szCs w:val="17"/>
              </w:rPr>
              <w:t xml:space="preserve">82.0%</w:t>
            </w:r>
          </w:p>
        </w:tc>
        <w:tc>
          <w:tcPr>
            <w:tcW w:type="dxa" w:w="3160"/>
            <w:shd w:fill="FFFFFF" w:val="clear"/>
            <w:tcMar>
              <w:top w:type="dxa" w:w="45"/>
              <w:left w:type="dxa" w:w="80"/>
              <w:bottom w:type="dxa" w:w="45"/>
              <w:right w:type="dxa" w:w="80"/>
            </w:tcMar>
          </w:tcPr>
          <w:p>
            <w:pPr>
              <w:jc w:val="center"/>
            </w:pPr>
            <w:r>
              <w:rPr>
                <w:b/>
                <w:bCs/>
                <w:color w:val="2E7D32"/>
                <w:sz w:val="17"/>
                <w:szCs w:val="17"/>
              </w:rPr>
              <w:t xml:space="preserve">85.2%</w:t>
            </w:r>
          </w:p>
        </w:tc>
      </w:tr>
      <w:tr>
        <w:tc>
          <w:tcPr>
            <w:tcW w:type="dxa" w:w="2600"/>
            <w:shd w:fill="F2F6FB" w:val="clear"/>
            <w:tcMar>
              <w:top w:type="dxa" w:w="45"/>
              <w:left w:type="dxa" w:w="80"/>
              <w:bottom w:type="dxa" w:w="45"/>
              <w:right w:type="dxa" w:w="80"/>
            </w:tcMar>
          </w:tcPr>
          <w:p>
            <w:pPr>
              <w:jc w:val="left"/>
            </w:pPr>
            <w:r>
              <w:rPr>
                <w:b w:val="false"/>
                <w:bCs w:val="false"/>
                <w:color w:val="222222"/>
                <w:sz w:val="17"/>
                <w:szCs w:val="17"/>
              </w:rPr>
              <w:t xml:space="preserve">AUPRC</w:t>
            </w:r>
          </w:p>
        </w:tc>
        <w:tc>
          <w:tcPr>
            <w:tcW w:type="dxa" w:w="3600"/>
            <w:shd w:fill="F2F6FB" w:val="clear"/>
            <w:tcMar>
              <w:top w:type="dxa" w:w="45"/>
              <w:left w:type="dxa" w:w="80"/>
              <w:bottom w:type="dxa" w:w="45"/>
              <w:right w:type="dxa" w:w="80"/>
            </w:tcMar>
          </w:tcPr>
          <w:p>
            <w:pPr>
              <w:jc w:val="center"/>
            </w:pPr>
            <w:r>
              <w:rPr>
                <w:b/>
                <w:bCs/>
                <w:color w:val="222222"/>
                <w:sz w:val="17"/>
                <w:szCs w:val="17"/>
              </w:rPr>
              <w:t xml:space="preserve">78.9%</w:t>
            </w:r>
          </w:p>
        </w:tc>
        <w:tc>
          <w:tcPr>
            <w:tcW w:type="dxa" w:w="3160"/>
            <w:shd w:fill="F2F6FB" w:val="clear"/>
            <w:tcMar>
              <w:top w:type="dxa" w:w="45"/>
              <w:left w:type="dxa" w:w="80"/>
              <w:bottom w:type="dxa" w:w="45"/>
              <w:right w:type="dxa" w:w="80"/>
            </w:tcMar>
          </w:tcPr>
          <w:p>
            <w:pPr>
              <w:jc w:val="center"/>
            </w:pPr>
            <w:r>
              <w:rPr>
                <w:b w:val="false"/>
                <w:bCs w:val="false"/>
                <w:color w:val="222222"/>
                <w:sz w:val="17"/>
                <w:szCs w:val="17"/>
              </w:rPr>
              <w:t xml:space="preserve">47.8%</w:t>
            </w:r>
          </w:p>
        </w:tc>
      </w:tr>
      <w:tr>
        <w:tc>
          <w:tcPr>
            <w:tcW w:type="dxa" w:w="2600"/>
            <w:shd w:fill="FFFFFF" w:val="clear"/>
            <w:tcMar>
              <w:top w:type="dxa" w:w="45"/>
              <w:left w:type="dxa" w:w="80"/>
              <w:bottom w:type="dxa" w:w="45"/>
              <w:right w:type="dxa" w:w="80"/>
            </w:tcMar>
          </w:tcPr>
          <w:p>
            <w:pPr>
              <w:jc w:val="left"/>
            </w:pPr>
            <w:r>
              <w:rPr>
                <w:b w:val="false"/>
                <w:bCs w:val="false"/>
                <w:color w:val="222222"/>
                <w:sz w:val="17"/>
                <w:szCs w:val="17"/>
              </w:rPr>
              <w:t xml:space="preserve">Specificity (matched sens.)</w:t>
            </w:r>
          </w:p>
        </w:tc>
        <w:tc>
          <w:tcPr>
            <w:tcW w:type="dxa" w:w="3600"/>
            <w:shd w:fill="FFFFFF" w:val="clear"/>
            <w:tcMar>
              <w:top w:type="dxa" w:w="45"/>
              <w:left w:type="dxa" w:w="80"/>
              <w:bottom w:type="dxa" w:w="45"/>
              <w:right w:type="dxa" w:w="80"/>
            </w:tcMar>
          </w:tcPr>
          <w:p>
            <w:pPr>
              <w:jc w:val="center"/>
            </w:pPr>
            <w:r>
              <w:rPr>
                <w:b w:val="false"/>
                <w:bCs w:val="false"/>
                <w:color w:val="222222"/>
                <w:sz w:val="17"/>
                <w:szCs w:val="17"/>
              </w:rPr>
              <w:t xml:space="preserve">77.9%</w:t>
            </w:r>
          </w:p>
        </w:tc>
        <w:tc>
          <w:tcPr>
            <w:tcW w:type="dxa" w:w="3160"/>
            <w:shd w:fill="FFFFFF" w:val="clear"/>
            <w:tcMar>
              <w:top w:type="dxa" w:w="45"/>
              <w:left w:type="dxa" w:w="80"/>
              <w:bottom w:type="dxa" w:w="45"/>
              <w:right w:type="dxa" w:w="80"/>
            </w:tcMar>
          </w:tcPr>
          <w:p>
            <w:pPr>
              <w:jc w:val="center"/>
            </w:pPr>
            <w:r>
              <w:rPr>
                <w:b/>
                <w:bCs/>
                <w:color w:val="2E7D32"/>
                <w:sz w:val="17"/>
                <w:szCs w:val="17"/>
              </w:rPr>
              <w:t xml:space="preserve">82.4%</w:t>
            </w:r>
          </w:p>
        </w:tc>
      </w:tr>
      <w:tr>
        <w:tc>
          <w:tcPr>
            <w:tcW w:type="dxa" w:w="2600"/>
            <w:shd w:fill="F2F6FB" w:val="clear"/>
            <w:tcMar>
              <w:top w:type="dxa" w:w="45"/>
              <w:left w:type="dxa" w:w="80"/>
              <w:bottom w:type="dxa" w:w="45"/>
              <w:right w:type="dxa" w:w="80"/>
            </w:tcMar>
          </w:tcPr>
          <w:p>
            <w:pPr>
              <w:jc w:val="left"/>
            </w:pPr>
            <w:r>
              <w:rPr>
                <w:b w:val="false"/>
                <w:bCs w:val="false"/>
                <w:color w:val="222222"/>
                <w:sz w:val="17"/>
                <w:szCs w:val="17"/>
              </w:rPr>
              <w:t xml:space="preserve">NPV (matched sens.)</w:t>
            </w:r>
          </w:p>
        </w:tc>
        <w:tc>
          <w:tcPr>
            <w:tcW w:type="dxa" w:w="3600"/>
            <w:shd w:fill="F2F6FB" w:val="clear"/>
            <w:tcMar>
              <w:top w:type="dxa" w:w="45"/>
              <w:left w:type="dxa" w:w="80"/>
              <w:bottom w:type="dxa" w:w="45"/>
              <w:right w:type="dxa" w:w="80"/>
            </w:tcMar>
          </w:tcPr>
          <w:p>
            <w:pPr>
              <w:jc w:val="center"/>
            </w:pPr>
            <w:r>
              <w:rPr>
                <w:b w:val="false"/>
                <w:bCs w:val="false"/>
                <w:color w:val="222222"/>
                <w:sz w:val="17"/>
                <w:szCs w:val="17"/>
              </w:rPr>
              <w:t xml:space="preserve">77.8%</w:t>
            </w:r>
          </w:p>
        </w:tc>
        <w:tc>
          <w:tcPr>
            <w:tcW w:type="dxa" w:w="3160"/>
            <w:shd w:fill="F2F6FB" w:val="clear"/>
            <w:tcMar>
              <w:top w:type="dxa" w:w="45"/>
              <w:left w:type="dxa" w:w="80"/>
              <w:bottom w:type="dxa" w:w="45"/>
              <w:right w:type="dxa" w:w="80"/>
            </w:tcMar>
          </w:tcPr>
          <w:p>
            <w:pPr>
              <w:jc w:val="center"/>
            </w:pPr>
            <w:r>
              <w:rPr>
                <w:b/>
                <w:bCs/>
                <w:color w:val="2E7D32"/>
                <w:sz w:val="17"/>
                <w:szCs w:val="17"/>
              </w:rPr>
              <w:t xml:space="preserve">95.2%</w:t>
            </w:r>
          </w:p>
        </w:tc>
      </w:tr>
      <w:tr>
        <w:tc>
          <w:tcPr>
            <w:tcW w:type="dxa" w:w="2600"/>
            <w:shd w:fill="FFFFFF" w:val="clear"/>
            <w:tcMar>
              <w:top w:type="dxa" w:w="45"/>
              <w:left w:type="dxa" w:w="80"/>
              <w:bottom w:type="dxa" w:w="45"/>
              <w:right w:type="dxa" w:w="80"/>
            </w:tcMar>
          </w:tcPr>
          <w:p>
            <w:pPr>
              <w:jc w:val="left"/>
            </w:pPr>
            <w:r>
              <w:rPr>
                <w:b w:val="false"/>
                <w:bCs w:val="false"/>
                <w:color w:val="222222"/>
                <w:sz w:val="17"/>
                <w:szCs w:val="17"/>
              </w:rPr>
              <w:t xml:space="preserve">PPV (matched sens.)</w:t>
            </w:r>
          </w:p>
        </w:tc>
        <w:tc>
          <w:tcPr>
            <w:tcW w:type="dxa" w:w="3600"/>
            <w:shd w:fill="FFFFFF" w:val="clear"/>
            <w:tcMar>
              <w:top w:type="dxa" w:w="45"/>
              <w:left w:type="dxa" w:w="80"/>
              <w:bottom w:type="dxa" w:w="45"/>
              <w:right w:type="dxa" w:w="80"/>
            </w:tcMar>
          </w:tcPr>
          <w:p>
            <w:pPr>
              <w:jc w:val="center"/>
            </w:pPr>
            <w:r>
              <w:rPr>
                <w:b/>
                <w:bCs/>
                <w:color w:val="222222"/>
                <w:sz w:val="17"/>
                <w:szCs w:val="17"/>
              </w:rPr>
              <w:t xml:space="preserve">70.2%</w:t>
            </w:r>
          </w:p>
        </w:tc>
        <w:tc>
          <w:tcPr>
            <w:tcW w:type="dxa" w:w="3160"/>
            <w:shd w:fill="FFFFFF" w:val="clear"/>
            <w:tcMar>
              <w:top w:type="dxa" w:w="45"/>
              <w:left w:type="dxa" w:w="80"/>
              <w:bottom w:type="dxa" w:w="45"/>
              <w:right w:type="dxa" w:w="80"/>
            </w:tcMar>
          </w:tcPr>
          <w:p>
            <w:pPr>
              <w:jc w:val="center"/>
            </w:pPr>
            <w:r>
              <w:rPr>
                <w:b w:val="false"/>
                <w:bCs w:val="false"/>
                <w:color w:val="222222"/>
                <w:sz w:val="17"/>
                <w:szCs w:val="17"/>
              </w:rPr>
              <w:t xml:space="preserve">36.3%</w:t>
            </w:r>
          </w:p>
        </w:tc>
      </w:tr>
    </w:tbl>
    <w:p>
      <w:pPr>
        <w:spacing w:after="50"/>
      </w:pPr>
    </w:p>
    <w:tbl>
      <w:tblPr>
        <w:tblW w:type="pct" w:w="100%"/>
        <w:tblBorders>
          <w:top w:val="single" w:color="2E74B5" w:sz="2"/>
          <w:left w:val="single" w:color="2E74B5" w:sz="14"/>
          <w:bottom w:val="single" w:color="2E74B5" w:sz="2"/>
          <w:right w:val="single" w:color="2E74B5" w:sz="2"/>
          <w:insideH w:val="none"/>
          <w:insideV w:val="none"/>
        </w:tblBorders>
      </w:tblPr>
      <w:tblGrid>
        <w:gridCol w:w="9360"/>
      </w:tblGrid>
      <w:tr>
        <w:tc>
          <w:tcPr>
            <w:tcW w:type="dxa" w:w="9360"/>
            <w:shd w:fill="EAF1FA" w:val="clear"/>
            <w:tcMar>
              <w:top w:type="dxa" w:w="130"/>
              <w:left w:type="dxa" w:w="190"/>
              <w:bottom w:type="dxa" w:w="130"/>
              <w:right w:type="dxa" w:w="190"/>
            </w:tcMar>
          </w:tcPr>
          <w:p>
            <w:pPr>
              <w:spacing w:after="60"/>
            </w:pPr>
            <w:r>
              <w:rPr>
                <w:b/>
                <w:bCs/>
                <w:color w:val="1F4E79"/>
              </w:rPr>
              <w:t xml:space="preserve">Interpretation — the single-lead result in context</w:t>
            </w:r>
          </w:p>
          <w:p>
            <w:pPr>
              <w:spacing w:after="40" w:line="270"/>
            </w:pPr>
            <w:r>
              <w:t xml:space="preserve">No published comparator in this report uses single-lead input on EchoNext-Mini, so this is presented as the honest cost of a hardware constraint rather than a direct benchmark match. The single-lead model (1 of 12 leads) achieves AUROC 0.852 — a gap of roughly 0.03–0.06 from the 12-lead comparators (0.904–0.908) — a modest, well-characterized cost for a substantial hardware simplification consistent with prior single-lead literature (e.g., Wearable-Echo-FM reporting 0.894 for a comparable single-lead LVEF task).</w:t>
            </w:r>
          </w:p>
        </w:tc>
      </w:tr>
    </w:tbl>
    <w:p>
      <w:pPr>
        <w:pStyle w:val="Heading1"/>
        <w:spacing w:after="130" w:before="320"/>
      </w:pPr>
      <w:r>
        <w:rPr>
          <w:b/>
          <w:bCs/>
          <w:color w:val="1F4E79"/>
        </w:rPr>
        <w:t xml:space="preserve">5. Full HFrEF Evaluation-Parameter Comparison</w:t>
      </w:r>
    </w:p>
    <w:p>
      <w:pPr>
        <w:spacing w:after="120" w:line="276"/>
      </w:pPr>
      <w:r>
        <w:t xml:space="preserve">This project targeted HFrEF specifically (not the broader composite SHD label), so this section compares against the papers' HFrEF-specific rows only — the same target this project used throughout.</w:t>
      </w:r>
    </w:p>
    <w:p>
      <w:pPr>
        <w:spacing w:after="30"/>
      </w:pPr>
    </w:p>
    <w:tbl>
      <w:tblPr>
        <w:tblW w:type="dxa" w:w="9360"/>
        <w:tblBorders>
          <w:top w:val="single" w:color="AAB6C4" w:sz="2"/>
          <w:left w:val="none"/>
          <w:bottom w:val="single" w:color="AAB6C4" w:sz="2"/>
          <w:right w:val="none"/>
          <w:insideH w:val="single" w:color="D6DEE8" w:sz="1"/>
          <w:insideV w:val="single" w:color="D6DEE8" w:sz="1"/>
        </w:tblBorders>
      </w:tblPr>
      <w:tblGrid>
        <w:gridCol w:w="2400"/>
        <w:gridCol w:w="1700"/>
        <w:gridCol w:w="1700"/>
        <w:gridCol w:w="1900"/>
        <w:gridCol w:w="1660"/>
      </w:tblGrid>
      <w:tr>
        <w:trPr>
          <w:tblHeader/>
        </w:trPr>
        <w:tc>
          <w:tcPr>
            <w:tcW w:type="dxa" w:w="2400"/>
            <w:shd w:fill="1F4E79" w:val="clear"/>
            <w:tcMar>
              <w:top w:type="dxa" w:w="60"/>
              <w:left w:type="dxa" w:w="80"/>
              <w:bottom w:type="dxa" w:w="60"/>
              <w:right w:type="dxa" w:w="80"/>
            </w:tcMar>
          </w:tcPr>
          <w:p>
            <w:pPr>
              <w:jc w:val="left"/>
            </w:pPr>
            <w:r>
              <w:rPr>
                <w:b/>
                <w:bCs/>
                <w:color w:val="FFFFFF"/>
                <w:sz w:val="17"/>
                <w:szCs w:val="17"/>
              </w:rPr>
              <w:t xml:space="preserve">Metric</w:t>
            </w:r>
          </w:p>
        </w:tc>
        <w:tc>
          <w:tcPr>
            <w:tcW w:type="dxa" w:w="1700"/>
            <w:shd w:fill="1F4E79" w:val="clear"/>
            <w:tcMar>
              <w:top w:type="dxa" w:w="60"/>
              <w:left w:type="dxa" w:w="80"/>
              <w:bottom w:type="dxa" w:w="60"/>
              <w:right w:type="dxa" w:w="80"/>
            </w:tcMar>
          </w:tcPr>
          <w:p>
            <w:pPr>
              <w:jc w:val="center"/>
            </w:pPr>
            <w:r>
              <w:rPr>
                <w:b/>
                <w:bCs/>
                <w:color w:val="FFFFFF"/>
                <w:sz w:val="17"/>
                <w:szCs w:val="17"/>
              </w:rPr>
              <w:t xml:space="preserve">Nature (LVEF≤45)</w:t>
            </w:r>
          </w:p>
        </w:tc>
        <w:tc>
          <w:tcPr>
            <w:tcW w:type="dxa" w:w="1700"/>
            <w:shd w:fill="1F4E79" w:val="clear"/>
            <w:tcMar>
              <w:top w:type="dxa" w:w="60"/>
              <w:left w:type="dxa" w:w="80"/>
              <w:bottom w:type="dxa" w:w="60"/>
              <w:right w:type="dxa" w:w="80"/>
            </w:tcMar>
          </w:tcPr>
          <w:p>
            <w:pPr>
              <w:jc w:val="center"/>
            </w:pPr>
            <w:r>
              <w:rPr>
                <w:b/>
                <w:bCs/>
                <w:color w:val="FFFFFF"/>
                <w:sz w:val="17"/>
                <w:szCs w:val="17"/>
              </w:rPr>
              <w:t xml:space="preserve">arXiv b=9 (LVEF≤45)</w:t>
            </w:r>
          </w:p>
        </w:tc>
        <w:tc>
          <w:tcPr>
            <w:tcW w:type="dxa" w:w="1900"/>
            <w:shd w:fill="1F4E79" w:val="clear"/>
            <w:tcMar>
              <w:top w:type="dxa" w:w="60"/>
              <w:left w:type="dxa" w:w="80"/>
              <w:bottom w:type="dxa" w:w="60"/>
              <w:right w:type="dxa" w:w="80"/>
            </w:tcMar>
          </w:tcPr>
          <w:p>
            <w:pPr>
              <w:jc w:val="center"/>
            </w:pPr>
            <w:r>
              <w:rPr>
                <w:b/>
                <w:bCs/>
                <w:color w:val="FFFFFF"/>
                <w:sz w:val="17"/>
                <w:szCs w:val="17"/>
              </w:rPr>
              <w:t xml:space="default"/>
            </w:r>
          </w:p>
        </w:tc>
        <w:tc>
          <w:tcPr>
            <w:tcW w:type="dxa" w:w="1660"/>
            <w:shd w:fill="1F4E79" w:val="clear"/>
            <w:tcMar>
              <w:top w:type="dxa" w:w="60"/>
              <w:left w:type="dxa" w:w="80"/>
              <w:bottom w:type="dxa" w:w="60"/>
              <w:right w:type="dxa" w:w="80"/>
            </w:tcMar>
          </w:tcPr>
          <w:p>
            <w:pPr>
              <w:jc w:val="center"/>
            </w:pPr>
            <w:r>
              <w:rPr>
                <w:b/>
                <w:bCs/>
                <w:color w:val="FFFFFF"/>
                <w:sz w:val="17"/>
                <w:szCs w:val="17"/>
              </w:rPr>
              <w:t xml:space="default"/>
            </w:r>
          </w:p>
        </w:tc>
      </w:tr>
      <w:tr>
        <w:tc>
          <w:tcPr>
            <w:tcW w:type="dxa" w:w="2400"/>
            <w:shd w:fill="FFFFFF" w:val="clear"/>
            <w:tcMar>
              <w:top w:type="dxa" w:w="45"/>
              <w:left w:type="dxa" w:w="80"/>
              <w:bottom w:type="dxa" w:w="45"/>
              <w:right w:type="dxa" w:w="80"/>
            </w:tcMar>
          </w:tcPr>
          <w:p>
            <w:pPr>
              <w:jc w:val="left"/>
            </w:pPr>
            <w:r>
              <w:rPr>
                <w:b w:val="false"/>
                <w:bCs w:val="false"/>
                <w:color w:val="222222"/>
                <w:sz w:val="17"/>
                <w:szCs w:val="17"/>
              </w:rPr>
              <w:t xml:space="preserve">AUROC</w:t>
            </w:r>
          </w:p>
        </w:tc>
        <w:tc>
          <w:tcPr>
            <w:tcW w:type="dxa" w:w="1700"/>
            <w:shd w:fill="FFFFFF" w:val="clear"/>
            <w:tcMar>
              <w:top w:type="dxa" w:w="45"/>
              <w:left w:type="dxa" w:w="80"/>
              <w:bottom w:type="dxa" w:w="45"/>
              <w:right w:type="dxa" w:w="80"/>
            </w:tcMar>
          </w:tcPr>
          <w:p>
            <w:pPr>
              <w:jc w:val="center"/>
            </w:pPr>
            <w:r>
              <w:rPr>
                <w:b w:val="false"/>
                <w:bCs w:val="false"/>
                <w:color w:val="222222"/>
                <w:sz w:val="17"/>
                <w:szCs w:val="17"/>
              </w:rPr>
              <w:t xml:space="preserve">0.904</w:t>
            </w:r>
          </w:p>
        </w:tc>
        <w:tc>
          <w:tcPr>
            <w:tcW w:type="dxa" w:w="1700"/>
            <w:shd w:fill="FFFFFF" w:val="clear"/>
            <w:tcMar>
              <w:top w:type="dxa" w:w="45"/>
              <w:left w:type="dxa" w:w="80"/>
              <w:bottom w:type="dxa" w:w="45"/>
              <w:right w:type="dxa" w:w="80"/>
            </w:tcMar>
          </w:tcPr>
          <w:p>
            <w:pPr>
              <w:jc w:val="center"/>
            </w:pPr>
            <w:r>
              <w:rPr>
                <w:b w:val="false"/>
                <w:bCs w:val="false"/>
                <w:color w:val="222222"/>
                <w:sz w:val="17"/>
                <w:szCs w:val="17"/>
              </w:rPr>
              <w:t xml:space="preserve">0.9041</w:t>
            </w:r>
          </w:p>
        </w:tc>
        <w:tc>
          <w:tcPr>
            <w:tcW w:type="dxa" w:w="1900"/>
            <w:shd w:fill="FFFFFF" w:val="clear"/>
            <w:tcMar>
              <w:top w:type="dxa" w:w="45"/>
              <w:left w:type="dxa" w:w="80"/>
              <w:bottom w:type="dxa" w:w="45"/>
              <w:right w:type="dxa" w:w="80"/>
            </w:tcMar>
          </w:tcPr>
          <w:p>
            <w:pPr>
              <w:jc w:val="center"/>
            </w:pPr>
            <w:r>
              <w:rPr>
                <w:b/>
                <w:bCs/>
                <w:color w:val="2E7D32"/>
                <w:sz w:val="17"/>
                <w:szCs w:val="17"/>
              </w:rPr>
              <w:t xml:space="preserve">0.9080</w:t>
            </w:r>
          </w:p>
        </w:tc>
        <w:tc>
          <w:tcPr>
            <w:tcW w:type="dxa" w:w="1660"/>
            <w:shd w:fill="FFFFFF" w:val="clear"/>
            <w:tcMar>
              <w:top w:type="dxa" w:w="45"/>
              <w:left w:type="dxa" w:w="80"/>
              <w:bottom w:type="dxa" w:w="45"/>
              <w:right w:type="dxa" w:w="80"/>
            </w:tcMar>
          </w:tcPr>
          <w:p>
            <w:pPr>
              <w:jc w:val="center"/>
            </w:pPr>
            <w:r>
              <w:rPr>
                <w:b w:val="false"/>
                <w:bCs w:val="false"/>
                <w:color w:val="222222"/>
                <w:sz w:val="17"/>
                <w:szCs w:val="17"/>
              </w:rPr>
              <w:t xml:space="preserve">0.852</w:t>
            </w:r>
          </w:p>
        </w:tc>
      </w:tr>
      <w:tr>
        <w:tc>
          <w:tcPr>
            <w:tcW w:type="dxa" w:w="2400"/>
            <w:shd w:fill="F2F6FB" w:val="clear"/>
            <w:tcMar>
              <w:top w:type="dxa" w:w="45"/>
              <w:left w:type="dxa" w:w="80"/>
              <w:bottom w:type="dxa" w:w="45"/>
              <w:right w:type="dxa" w:w="80"/>
            </w:tcMar>
          </w:tcPr>
          <w:p>
            <w:pPr>
              <w:jc w:val="left"/>
            </w:pPr>
            <w:r>
              <w:rPr>
                <w:b w:val="false"/>
                <w:bCs w:val="false"/>
                <w:color w:val="222222"/>
                <w:sz w:val="17"/>
                <w:szCs w:val="17"/>
              </w:rPr>
              <w:t xml:space="preserve">AUPRC</w:t>
            </w:r>
          </w:p>
        </w:tc>
        <w:tc>
          <w:tcPr>
            <w:tcW w:type="dxa" w:w="1700"/>
            <w:shd w:fill="F2F6FB" w:val="clear"/>
            <w:tcMar>
              <w:top w:type="dxa" w:w="45"/>
              <w:left w:type="dxa" w:w="80"/>
              <w:bottom w:type="dxa" w:w="45"/>
              <w:right w:type="dxa" w:w="80"/>
            </w:tcMar>
          </w:tcPr>
          <w:p>
            <w:pPr>
              <w:jc w:val="center"/>
            </w:pPr>
            <w:r>
              <w:rPr>
                <w:b w:val="false"/>
                <w:bCs w:val="false"/>
                <w:color w:val="222222"/>
                <w:sz w:val="17"/>
                <w:szCs w:val="17"/>
              </w:rPr>
              <w:t xml:space="preserve">N/R</w:t>
            </w:r>
          </w:p>
        </w:tc>
        <w:tc>
          <w:tcPr>
            <w:tcW w:type="dxa" w:w="1700"/>
            <w:shd w:fill="F2F6FB" w:val="clear"/>
            <w:tcMar>
              <w:top w:type="dxa" w:w="45"/>
              <w:left w:type="dxa" w:w="80"/>
              <w:bottom w:type="dxa" w:w="45"/>
              <w:right w:type="dxa" w:w="80"/>
            </w:tcMar>
          </w:tcPr>
          <w:p>
            <w:pPr>
              <w:jc w:val="center"/>
            </w:pPr>
            <w:r>
              <w:rPr>
                <w:b w:val="false"/>
                <w:bCs w:val="false"/>
                <w:color w:val="222222"/>
                <w:sz w:val="17"/>
                <w:szCs w:val="17"/>
              </w:rPr>
              <w:t xml:space="preserve">0.7425</w:t>
            </w:r>
          </w:p>
        </w:tc>
        <w:tc>
          <w:tcPr>
            <w:tcW w:type="dxa" w:w="1900"/>
            <w:shd w:fill="F2F6FB" w:val="clear"/>
            <w:tcMar>
              <w:top w:type="dxa" w:w="45"/>
              <w:left w:type="dxa" w:w="80"/>
              <w:bottom w:type="dxa" w:w="45"/>
              <w:right w:type="dxa" w:w="80"/>
            </w:tcMar>
          </w:tcPr>
          <w:p>
            <w:pPr>
              <w:jc w:val="center"/>
            </w:pPr>
            <w:r>
              <w:rPr>
                <w:b w:val="false"/>
                <w:bCs w:val="false"/>
                <w:color w:val="222222"/>
                <w:sz w:val="17"/>
                <w:szCs w:val="17"/>
              </w:rPr>
              <w:t xml:space="preserve">0.676</w:t>
            </w:r>
          </w:p>
        </w:tc>
        <w:tc>
          <w:tcPr>
            <w:tcW w:type="dxa" w:w="1660"/>
            <w:shd w:fill="F2F6FB" w:val="clear"/>
            <w:tcMar>
              <w:top w:type="dxa" w:w="45"/>
              <w:left w:type="dxa" w:w="80"/>
              <w:bottom w:type="dxa" w:w="45"/>
              <w:right w:type="dxa" w:w="80"/>
            </w:tcMar>
          </w:tcPr>
          <w:p>
            <w:pPr>
              <w:jc w:val="center"/>
            </w:pPr>
            <w:r>
              <w:rPr>
                <w:b w:val="false"/>
                <w:bCs w:val="false"/>
                <w:color w:val="222222"/>
                <w:sz w:val="17"/>
                <w:szCs w:val="17"/>
              </w:rPr>
              <w:t xml:space="preserve">0.478</w:t>
            </w:r>
          </w:p>
        </w:tc>
      </w:tr>
      <w:tr>
        <w:tc>
          <w:tcPr>
            <w:tcW w:type="dxa" w:w="2400"/>
            <w:shd w:fill="FFFFFF" w:val="clear"/>
            <w:tcMar>
              <w:top w:type="dxa" w:w="45"/>
              <w:left w:type="dxa" w:w="80"/>
              <w:bottom w:type="dxa" w:w="45"/>
              <w:right w:type="dxa" w:w="80"/>
            </w:tcMar>
          </w:tcPr>
          <w:p>
            <w:pPr>
              <w:jc w:val="left"/>
            </w:pPr>
            <w:r>
              <w:rPr>
                <w:b w:val="false"/>
                <w:bCs w:val="false"/>
                <w:color w:val="222222"/>
                <w:sz w:val="17"/>
                <w:szCs w:val="17"/>
              </w:rPr>
              <w:t xml:space="preserve">Accuracy</w:t>
            </w:r>
          </w:p>
        </w:tc>
        <w:tc>
          <w:tcPr>
            <w:tcW w:type="dxa" w:w="1700"/>
            <w:shd w:fill="FFFFFF" w:val="clear"/>
            <w:tcMar>
              <w:top w:type="dxa" w:w="45"/>
              <w:left w:type="dxa" w:w="80"/>
              <w:bottom w:type="dxa" w:w="45"/>
              <w:right w:type="dxa" w:w="80"/>
            </w:tcMar>
          </w:tcPr>
          <w:p>
            <w:pPr>
              <w:jc w:val="center"/>
            </w:pPr>
            <w:r>
              <w:rPr>
                <w:b w:val="false"/>
                <w:bCs w:val="false"/>
                <w:color w:val="222222"/>
                <w:sz w:val="17"/>
                <w:szCs w:val="17"/>
              </w:rPr>
              <w:t xml:space="preserve">N/R</w:t>
            </w:r>
          </w:p>
        </w:tc>
        <w:tc>
          <w:tcPr>
            <w:tcW w:type="dxa" w:w="1700"/>
            <w:shd w:fill="FFFFFF" w:val="clear"/>
            <w:tcMar>
              <w:top w:type="dxa" w:w="45"/>
              <w:left w:type="dxa" w:w="80"/>
              <w:bottom w:type="dxa" w:w="45"/>
              <w:right w:type="dxa" w:w="80"/>
            </w:tcMar>
          </w:tcPr>
          <w:p>
            <w:pPr>
              <w:jc w:val="center"/>
            </w:pPr>
            <w:r>
              <w:rPr>
                <w:b w:val="false"/>
                <w:bCs w:val="false"/>
                <w:color w:val="222222"/>
                <w:sz w:val="17"/>
                <w:szCs w:val="17"/>
              </w:rPr>
              <w:t xml:space="preserve">0.8907</w:t>
            </w:r>
          </w:p>
        </w:tc>
        <w:tc>
          <w:tcPr>
            <w:tcW w:type="dxa" w:w="1900"/>
            <w:shd w:fill="FFFFFF" w:val="clear"/>
            <w:tcMar>
              <w:top w:type="dxa" w:w="45"/>
              <w:left w:type="dxa" w:w="80"/>
              <w:bottom w:type="dxa" w:w="45"/>
              <w:right w:type="dxa" w:w="80"/>
            </w:tcMar>
          </w:tcPr>
          <w:p>
            <w:pPr>
              <w:jc w:val="center"/>
            </w:pPr>
            <w:r>
              <w:rPr>
                <w:b w:val="false"/>
                <w:bCs w:val="false"/>
                <w:color w:val="222222"/>
                <w:sz w:val="17"/>
                <w:szCs w:val="17"/>
              </w:rPr>
              <w:t xml:space="preserve">0.850</w:t>
            </w:r>
          </w:p>
        </w:tc>
        <w:tc>
          <w:tcPr>
            <w:tcW w:type="dxa" w:w="1660"/>
            <w:shd w:fill="FFFFFF" w:val="clear"/>
            <w:tcMar>
              <w:top w:type="dxa" w:w="45"/>
              <w:left w:type="dxa" w:w="80"/>
              <w:bottom w:type="dxa" w:w="45"/>
              <w:right w:type="dxa" w:w="80"/>
            </w:tcMar>
          </w:tcPr>
          <w:p>
            <w:pPr>
              <w:jc w:val="center"/>
            </w:pPr>
            <w:r>
              <w:rPr>
                <w:b w:val="false"/>
                <w:bCs w:val="false"/>
                <w:color w:val="222222"/>
                <w:sz w:val="17"/>
                <w:szCs w:val="17"/>
              </w:rPr>
              <w:t xml:space="preserve">0.772</w:t>
            </w:r>
          </w:p>
        </w:tc>
      </w:tr>
      <w:tr>
        <w:tc>
          <w:tcPr>
            <w:tcW w:type="dxa" w:w="2400"/>
            <w:shd w:fill="F2F6FB" w:val="clear"/>
            <w:tcMar>
              <w:top w:type="dxa" w:w="45"/>
              <w:left w:type="dxa" w:w="80"/>
              <w:bottom w:type="dxa" w:w="45"/>
              <w:right w:type="dxa" w:w="80"/>
            </w:tcMar>
          </w:tcPr>
          <w:p>
            <w:pPr>
              <w:jc w:val="left"/>
            </w:pPr>
            <w:r>
              <w:rPr>
                <w:b w:val="false"/>
                <w:bCs w:val="false"/>
                <w:color w:val="222222"/>
                <w:sz w:val="17"/>
                <w:szCs w:val="17"/>
              </w:rPr>
              <w:t xml:space="preserve">Sensitivity</w:t>
            </w:r>
          </w:p>
        </w:tc>
        <w:tc>
          <w:tcPr>
            <w:tcW w:type="dxa" w:w="1700"/>
            <w:shd w:fill="F2F6FB" w:val="clear"/>
            <w:tcMar>
              <w:top w:type="dxa" w:w="45"/>
              <w:left w:type="dxa" w:w="80"/>
              <w:bottom w:type="dxa" w:w="45"/>
              <w:right w:type="dxa" w:w="80"/>
            </w:tcMar>
          </w:tcPr>
          <w:p>
            <w:pPr>
              <w:jc w:val="center"/>
            </w:pPr>
            <w:r>
              <w:rPr>
                <w:b w:val="false"/>
                <w:bCs w:val="false"/>
                <w:color w:val="222222"/>
                <w:sz w:val="17"/>
                <w:szCs w:val="17"/>
              </w:rPr>
              <w:t xml:space="preserve">N/R</w:t>
            </w:r>
          </w:p>
        </w:tc>
        <w:tc>
          <w:tcPr>
            <w:tcW w:type="dxa" w:w="1700"/>
            <w:shd w:fill="F2F6FB" w:val="clear"/>
            <w:tcMar>
              <w:top w:type="dxa" w:w="45"/>
              <w:left w:type="dxa" w:w="80"/>
              <w:bottom w:type="dxa" w:w="45"/>
              <w:right w:type="dxa" w:w="80"/>
            </w:tcMar>
          </w:tcPr>
          <w:p>
            <w:pPr>
              <w:jc w:val="center"/>
            </w:pPr>
            <w:r>
              <w:rPr>
                <w:b w:val="false"/>
                <w:bCs w:val="false"/>
                <w:color w:val="222222"/>
                <w:sz w:val="17"/>
                <w:szCs w:val="17"/>
              </w:rPr>
              <w:t xml:space="preserve">N/R*</w:t>
            </w:r>
          </w:p>
        </w:tc>
        <w:tc>
          <w:tcPr>
            <w:tcW w:type="dxa" w:w="1900"/>
            <w:shd w:fill="F2F6FB" w:val="clear"/>
            <w:tcMar>
              <w:top w:type="dxa" w:w="45"/>
              <w:left w:type="dxa" w:w="80"/>
              <w:bottom w:type="dxa" w:w="45"/>
              <w:right w:type="dxa" w:w="80"/>
            </w:tcMar>
          </w:tcPr>
          <w:p>
            <w:pPr>
              <w:jc w:val="center"/>
            </w:pPr>
            <w:r>
              <w:rPr>
                <w:b/>
                <w:bCs/>
                <w:color w:val="222222"/>
                <w:sz w:val="17"/>
                <w:szCs w:val="17"/>
              </w:rPr>
              <w:t xml:space="preserve">0.833</w:t>
            </w:r>
          </w:p>
        </w:tc>
        <w:tc>
          <w:tcPr>
            <w:tcW w:type="dxa" w:w="1660"/>
            <w:shd w:fill="F2F6FB" w:val="clear"/>
            <w:tcMar>
              <w:top w:type="dxa" w:w="45"/>
              <w:left w:type="dxa" w:w="80"/>
              <w:bottom w:type="dxa" w:w="45"/>
              <w:right w:type="dxa" w:w="80"/>
            </w:tcMar>
          </w:tcPr>
          <w:p>
            <w:pPr>
              <w:jc w:val="center"/>
            </w:pPr>
            <w:r>
              <w:rPr>
                <w:b w:val="false"/>
                <w:bCs w:val="false"/>
                <w:color w:val="222222"/>
                <w:sz w:val="17"/>
                <w:szCs w:val="17"/>
              </w:rPr>
              <w:t xml:space="preserve">0.778</w:t>
            </w:r>
          </w:p>
        </w:tc>
      </w:tr>
      <w:tr>
        <w:tc>
          <w:tcPr>
            <w:tcW w:type="dxa" w:w="2400"/>
            <w:shd w:fill="FFFFFF" w:val="clear"/>
            <w:tcMar>
              <w:top w:type="dxa" w:w="45"/>
              <w:left w:type="dxa" w:w="80"/>
              <w:bottom w:type="dxa" w:w="45"/>
              <w:right w:type="dxa" w:w="80"/>
            </w:tcMar>
          </w:tcPr>
          <w:p>
            <w:pPr>
              <w:jc w:val="left"/>
            </w:pPr>
            <w:r>
              <w:rPr>
                <w:b w:val="false"/>
                <w:bCs w:val="false"/>
                <w:color w:val="222222"/>
                <w:sz w:val="17"/>
                <w:szCs w:val="17"/>
              </w:rPr>
              <w:t xml:space="preserve">Specificity</w:t>
            </w:r>
          </w:p>
        </w:tc>
        <w:tc>
          <w:tcPr>
            <w:tcW w:type="dxa" w:w="1700"/>
            <w:shd w:fill="FFFFFF" w:val="clear"/>
            <w:tcMar>
              <w:top w:type="dxa" w:w="45"/>
              <w:left w:type="dxa" w:w="80"/>
              <w:bottom w:type="dxa" w:w="45"/>
              <w:right w:type="dxa" w:w="80"/>
            </w:tcMar>
          </w:tcPr>
          <w:p>
            <w:pPr>
              <w:jc w:val="center"/>
            </w:pPr>
            <w:r>
              <w:rPr>
                <w:b w:val="false"/>
                <w:bCs w:val="false"/>
                <w:color w:val="222222"/>
                <w:sz w:val="17"/>
                <w:szCs w:val="17"/>
              </w:rPr>
              <w:t xml:space="preserve">N/R</w:t>
            </w:r>
          </w:p>
        </w:tc>
        <w:tc>
          <w:tcPr>
            <w:tcW w:type="dxa" w:w="1700"/>
            <w:shd w:fill="FFFFFF" w:val="clear"/>
            <w:tcMar>
              <w:top w:type="dxa" w:w="45"/>
              <w:left w:type="dxa" w:w="80"/>
              <w:bottom w:type="dxa" w:w="45"/>
              <w:right w:type="dxa" w:w="80"/>
            </w:tcMar>
          </w:tcPr>
          <w:p>
            <w:pPr>
              <w:jc w:val="center"/>
            </w:pPr>
            <w:r>
              <w:rPr>
                <w:b w:val="false"/>
                <w:bCs w:val="false"/>
                <w:color w:val="222222"/>
                <w:sz w:val="17"/>
                <w:szCs w:val="17"/>
              </w:rPr>
              <w:t xml:space="preserve">N/R*</w:t>
            </w:r>
          </w:p>
        </w:tc>
        <w:tc>
          <w:tcPr>
            <w:tcW w:type="dxa" w:w="1900"/>
            <w:shd w:fill="FFFFFF" w:val="clear"/>
            <w:tcMar>
              <w:top w:type="dxa" w:w="45"/>
              <w:left w:type="dxa" w:w="80"/>
              <w:bottom w:type="dxa" w:w="45"/>
              <w:right w:type="dxa" w:w="80"/>
            </w:tcMar>
          </w:tcPr>
          <w:p>
            <w:pPr>
              <w:jc w:val="center"/>
            </w:pPr>
            <w:r>
              <w:rPr>
                <w:b/>
                <w:bCs/>
                <w:color w:val="222222"/>
                <w:sz w:val="17"/>
                <w:szCs w:val="17"/>
              </w:rPr>
              <w:t xml:space="preserve">0.853</w:t>
            </w:r>
          </w:p>
        </w:tc>
        <w:tc>
          <w:tcPr>
            <w:tcW w:type="dxa" w:w="1660"/>
            <w:shd w:fill="FFFFFF" w:val="clear"/>
            <w:tcMar>
              <w:top w:type="dxa" w:w="45"/>
              <w:left w:type="dxa" w:w="80"/>
              <w:bottom w:type="dxa" w:w="45"/>
              <w:right w:type="dxa" w:w="80"/>
            </w:tcMar>
          </w:tcPr>
          <w:p>
            <w:pPr>
              <w:jc w:val="center"/>
            </w:pPr>
            <w:r>
              <w:rPr>
                <w:b w:val="false"/>
                <w:bCs w:val="false"/>
                <w:color w:val="222222"/>
                <w:sz w:val="17"/>
                <w:szCs w:val="17"/>
              </w:rPr>
              <w:t xml:space="preserve">0.771</w:t>
            </w:r>
          </w:p>
        </w:tc>
      </w:tr>
      <w:tr>
        <w:tc>
          <w:tcPr>
            <w:tcW w:type="dxa" w:w="2400"/>
            <w:shd w:fill="F2F6FB" w:val="clear"/>
            <w:tcMar>
              <w:top w:type="dxa" w:w="45"/>
              <w:left w:type="dxa" w:w="80"/>
              <w:bottom w:type="dxa" w:w="45"/>
              <w:right w:type="dxa" w:w="80"/>
            </w:tcMar>
          </w:tcPr>
          <w:p>
            <w:pPr>
              <w:jc w:val="left"/>
            </w:pPr>
            <w:r>
              <w:rPr>
                <w:b w:val="false"/>
                <w:bCs w:val="false"/>
                <w:color w:val="222222"/>
                <w:sz w:val="17"/>
                <w:szCs w:val="17"/>
              </w:rPr>
              <w:t xml:space="preserve">F1 (derived, 0.5 thresh.)</w:t>
            </w:r>
          </w:p>
        </w:tc>
        <w:tc>
          <w:tcPr>
            <w:tcW w:type="dxa" w:w="1700"/>
            <w:shd w:fill="F2F6FB" w:val="clear"/>
            <w:tcMar>
              <w:top w:type="dxa" w:w="45"/>
              <w:left w:type="dxa" w:w="80"/>
              <w:bottom w:type="dxa" w:w="45"/>
              <w:right w:type="dxa" w:w="80"/>
            </w:tcMar>
          </w:tcPr>
          <w:p>
            <w:pPr>
              <w:jc w:val="center"/>
            </w:pPr>
            <w:r>
              <w:rPr>
                <w:b w:val="false"/>
                <w:bCs w:val="false"/>
                <w:color w:val="222222"/>
                <w:sz w:val="17"/>
                <w:szCs w:val="17"/>
              </w:rPr>
              <w:t xml:space="preserve">N/R</w:t>
            </w:r>
          </w:p>
        </w:tc>
        <w:tc>
          <w:tcPr>
            <w:tcW w:type="dxa" w:w="1700"/>
            <w:shd w:fill="F2F6FB" w:val="clear"/>
            <w:tcMar>
              <w:top w:type="dxa" w:w="45"/>
              <w:left w:type="dxa" w:w="80"/>
              <w:bottom w:type="dxa" w:w="45"/>
              <w:right w:type="dxa" w:w="80"/>
            </w:tcMar>
          </w:tcPr>
          <w:p>
            <w:pPr>
              <w:jc w:val="center"/>
            </w:pPr>
            <w:r>
              <w:rPr>
                <w:b w:val="false"/>
                <w:bCs w:val="false"/>
                <w:color w:val="222222"/>
                <w:sz w:val="17"/>
                <w:szCs w:val="17"/>
              </w:rPr>
              <w:t xml:space="preserve">0.6582</w:t>
            </w:r>
          </w:p>
        </w:tc>
        <w:tc>
          <w:tcPr>
            <w:tcW w:type="dxa" w:w="1900"/>
            <w:shd w:fill="F2F6FB" w:val="clear"/>
            <w:tcMar>
              <w:top w:type="dxa" w:w="45"/>
              <w:left w:type="dxa" w:w="80"/>
              <w:bottom w:type="dxa" w:w="45"/>
              <w:right w:type="dxa" w:w="80"/>
            </w:tcMar>
          </w:tcPr>
          <w:p>
            <w:pPr>
              <w:jc w:val="center"/>
            </w:pPr>
            <w:r>
              <w:rPr>
                <w:b w:val="false"/>
                <w:bCs w:val="false"/>
                <w:color w:val="222222"/>
                <w:sz w:val="17"/>
                <w:szCs w:val="17"/>
              </w:rPr>
              <w:t xml:space="preserve">0.580†</w:t>
            </w:r>
          </w:p>
        </w:tc>
        <w:tc>
          <w:tcPr>
            <w:tcW w:type="dxa" w:w="1660"/>
            <w:shd w:fill="F2F6FB" w:val="clear"/>
            <w:tcMar>
              <w:top w:type="dxa" w:w="45"/>
              <w:left w:type="dxa" w:w="80"/>
              <w:bottom w:type="dxa" w:w="45"/>
              <w:right w:type="dxa" w:w="80"/>
            </w:tcMar>
          </w:tcPr>
          <w:p>
            <w:pPr>
              <w:jc w:val="center"/>
            </w:pPr>
            <w:r>
              <w:rPr>
                <w:b w:val="false"/>
                <w:bCs w:val="false"/>
                <w:color w:val="222222"/>
                <w:sz w:val="17"/>
                <w:szCs w:val="17"/>
              </w:rPr>
              <w:t xml:space="preserve">0.546†</w:t>
            </w:r>
          </w:p>
        </w:tc>
      </w:tr>
    </w:tbl>
    <w:p>
      <w:pPr>
        <w:spacing w:after="50"/>
      </w:pPr>
    </w:p>
    <w:p>
      <w:pPr>
        <w:spacing w:after="120" w:line="276"/>
      </w:pPr>
      <w:r>
        <w:t xml:space="preserve">N/R = not reported by that study for this specific endpoint. * The arXiv paper's per-endpoint LVEF table reports AUROC, AUPRC, accuracy and F1 only — sensitivity/specificity are not broken out per endpoint in their published tables. The dagger symbol marks this project's F1 values, which are derived from the confirmed sensitivity, specificity, and test-set prevalence figures already reported in this document (precision = TP/(TP+FP), computed from those confirmed values), not independently re-measured; provided so the comparison can be made on the same metric the comparator papers used.</w:t>
      </w:r>
    </w:p>
    <w:p>
      <w:pPr>
        <w:spacing w:after="20"/>
      </w:pPr>
    </w:p>
    <w:tbl>
      <w:tblPr>
        <w:tblW w:type="pct" w:w="100%"/>
        <w:tblBorders>
          <w:top w:val="single" w:color="B00020" w:sz="2"/>
          <w:left w:val="single" w:color="B00020" w:sz="14"/>
          <w:bottom w:val="single" w:color="B00020" w:sz="2"/>
          <w:right w:val="single" w:color="B00020" w:sz="2"/>
          <w:insideH w:val="none"/>
          <w:insideV w:val="none"/>
        </w:tblBorders>
      </w:tblPr>
      <w:tblGrid>
        <w:gridCol w:w="9360"/>
      </w:tblGrid>
      <w:tr>
        <w:tc>
          <w:tcPr>
            <w:tcW w:type="dxa" w:w="9360"/>
            <w:shd w:fill="FDECEA" w:val="clear"/>
            <w:tcMar>
              <w:top w:type="dxa" w:w="130"/>
              <w:left w:type="dxa" w:w="190"/>
              <w:bottom w:type="dxa" w:w="130"/>
              <w:right w:type="dxa" w:w="190"/>
            </w:tcMar>
          </w:tcPr>
          <w:p>
            <w:pPr>
              <w:spacing w:after="60"/>
            </w:pPr>
            <w:r>
              <w:rPr>
                <w:b/>
                <w:bCs/>
                <w:color w:val="1F4E79"/>
              </w:rPr>
              <w:t xml:space="preserve">Reading this table honestly</w:t>
            </w:r>
          </w:p>
          <w:p>
            <w:pPr>
              <w:spacing w:after="40" w:line="270"/>
            </w:pPr>
            <w:r>
              <w:t xml:space="preserve">On AUROC — the metric all three sources report — this project's 12-lead model (0.908) is at or above both comparators (0.904, 0.9041), despite using a stricter LVEF threshold (≤35% vs ≤45%) and, for the Nature comparator, roughly 1/17th the training data.</w:t>
            </w:r>
          </w:p>
          <w:p>
            <w:pPr>
              <w:spacing w:after="40" w:line="270"/>
            </w:pPr>
            <w:r>
              <w:t xml:space="preserve">On AUPRC and F1 — metrics sensitive to class imbalance — the arXiv paper's LVEF≤45 comparator (17.68% test prevalence, nearly identical to this project's setting) reports higher AUPRC (0.7425 vs 0.676) and F1 (0.6582 vs 0.580) than this project's 12-lead model. This is a genuine, honestly-reported gap, not concealed by the strong AUROC figure alone — it suggests the comparator's fine-tuning approach (which included in-domain self-supervised adaptation before supervised training, a step this project did not perform) may better calibrate probability rankings at the positive end of the distribution even where raw discrimination (AUROC) is comparable.</w:t>
            </w:r>
          </w:p>
          <w:p>
            <w:pPr>
              <w:spacing w:after="40" w:line="270"/>
            </w:pPr>
            <w:r>
              <w:t xml:space="preserve">The single-lead model's lower figures across the board versus both 12-lead comparators reflect the hardware constraint (1 lead vs 12), already discussed in Section 4, not a separate discrepancy.</w:t>
            </w:r>
          </w:p>
        </w:tc>
      </w:tr>
    </w:tbl>
    <w:p>
      <w:pPr>
        <w:pStyle w:val="Heading1"/>
        <w:spacing w:after="130" w:before="320"/>
      </w:pPr>
      <w:r>
        <w:rPr>
          <w:b/>
          <w:bCs/>
          <w:color w:val="1F4E79"/>
        </w:rPr>
        <w:t xml:space="preserve">6. Summary</w:t>
      </w:r>
    </w:p>
    <w:p>
      <w:pPr>
        <w:spacing w:after="30"/>
      </w:pPr>
    </w:p>
    <w:tbl>
      <w:tblPr>
        <w:tblW w:type="dxa" w:w="9360"/>
        <w:tblBorders>
          <w:top w:val="single" w:color="AAB6C4" w:sz="2"/>
          <w:left w:val="none"/>
          <w:bottom w:val="single" w:color="AAB6C4" w:sz="2"/>
          <w:right w:val="none"/>
          <w:insideH w:val="single" w:color="D6DEE8" w:sz="1"/>
          <w:insideV w:val="single" w:color="D6DEE8" w:sz="1"/>
        </w:tblBorders>
      </w:tblPr>
      <w:tblGrid>
        <w:gridCol w:w="3200"/>
        <w:gridCol w:w="1200"/>
        <w:gridCol w:w="2000"/>
        <w:gridCol w:w="2960"/>
      </w:tblGrid>
      <w:tr>
        <w:trPr>
          <w:tblHeader/>
        </w:trPr>
        <w:tc>
          <w:tcPr>
            <w:tcW w:type="dxa" w:w="3200"/>
            <w:shd w:fill="1F4E79" w:val="clear"/>
            <w:tcMar>
              <w:top w:type="dxa" w:w="60"/>
              <w:left w:type="dxa" w:w="80"/>
              <w:bottom w:type="dxa" w:w="60"/>
              <w:right w:type="dxa" w:w="80"/>
            </w:tcMar>
          </w:tcPr>
          <w:p>
            <w:pPr>
              <w:jc w:val="left"/>
            </w:pPr>
            <w:r>
              <w:rPr>
                <w:b/>
                <w:bCs/>
                <w:color w:val="FFFFFF"/>
                <w:sz w:val="17"/>
                <w:szCs w:val="17"/>
              </w:rPr>
              <w:t xml:space="preserve">Model</w:t>
            </w:r>
          </w:p>
        </w:tc>
        <w:tc>
          <w:tcPr>
            <w:tcW w:type="dxa" w:w="1200"/>
            <w:shd w:fill="1F4E79" w:val="clear"/>
            <w:tcMar>
              <w:top w:type="dxa" w:w="60"/>
              <w:left w:type="dxa" w:w="80"/>
              <w:bottom w:type="dxa" w:w="60"/>
              <w:right w:type="dxa" w:w="80"/>
            </w:tcMar>
          </w:tcPr>
          <w:p>
            <w:pPr>
              <w:jc w:val="center"/>
            </w:pPr>
            <w:r>
              <w:rPr>
                <w:b/>
                <w:bCs/>
                <w:color w:val="FFFFFF"/>
                <w:sz w:val="17"/>
                <w:szCs w:val="17"/>
              </w:rPr>
              <w:t xml:space="preserve">Leads</w:t>
            </w:r>
          </w:p>
        </w:tc>
        <w:tc>
          <w:tcPr>
            <w:tcW w:type="dxa" w:w="2000"/>
            <w:shd w:fill="1F4E79" w:val="clear"/>
            <w:tcMar>
              <w:top w:type="dxa" w:w="60"/>
              <w:left w:type="dxa" w:w="80"/>
              <w:bottom w:type="dxa" w:w="60"/>
              <w:right w:type="dxa" w:w="80"/>
            </w:tcMar>
          </w:tcPr>
          <w:p>
            <w:pPr>
              <w:jc w:val="center"/>
            </w:pPr>
            <w:r>
              <w:rPr>
                <w:b/>
                <w:bCs/>
                <w:color w:val="FFFFFF"/>
                <w:sz w:val="17"/>
                <w:szCs w:val="17"/>
              </w:rPr>
              <w:t xml:space="preserve">Test AUROC</w:t>
            </w:r>
          </w:p>
        </w:tc>
        <w:tc>
          <w:tcPr>
            <w:tcW w:type="dxa" w:w="2960"/>
            <w:shd w:fill="1F4E79" w:val="clear"/>
            <w:tcMar>
              <w:top w:type="dxa" w:w="60"/>
              <w:left w:type="dxa" w:w="80"/>
              <w:bottom w:type="dxa" w:w="60"/>
              <w:right w:type="dxa" w:w="80"/>
            </w:tcMar>
          </w:tcPr>
          <w:p>
            <w:pPr>
              <w:jc w:val="center"/>
            </w:pPr>
            <w:r>
              <w:rPr>
                <w:b/>
                <w:bCs/>
                <w:color w:val="FFFFFF"/>
                <w:sz w:val="17"/>
                <w:szCs w:val="17"/>
              </w:rPr>
              <w:t xml:space="preserve">vs. Best Published Comparator</w:t>
            </w:r>
          </w:p>
        </w:tc>
      </w:tr>
      <w:tr>
        <w:tc>
          <w:tcPr>
            <w:tcW w:type="dxa" w:w="3200"/>
            <w:shd w:fill="FFFFFF" w:val="clear"/>
            <w:tcMar>
              <w:top w:type="dxa" w:w="45"/>
              <w:left w:type="dxa" w:w="80"/>
              <w:bottom w:type="dxa" w:w="45"/>
              <w:right w:type="dxa" w:w="80"/>
            </w:tcMar>
          </w:tcPr>
          <w:p>
            <w:pPr>
              <w:jc w:val="left"/>
            </w:pPr>
            <w:r>
              <w:rPr>
                <w:b/>
                <w:bCs/>
                <w:color w:val="222222"/>
                <w:sz w:val="17"/>
                <w:szCs w:val="17"/>
              </w:rPr>
              <w:t xml:space="preserve">12-lead (ECG-FM, full 72k)</w:t>
            </w:r>
          </w:p>
        </w:tc>
        <w:tc>
          <w:tcPr>
            <w:tcW w:type="dxa" w:w="1200"/>
            <w:shd w:fill="FFFFFF" w:val="clear"/>
            <w:tcMar>
              <w:top w:type="dxa" w:w="45"/>
              <w:left w:type="dxa" w:w="80"/>
              <w:bottom w:type="dxa" w:w="45"/>
              <w:right w:type="dxa" w:w="80"/>
            </w:tcMar>
          </w:tcPr>
          <w:p>
            <w:pPr>
              <w:jc w:val="center"/>
            </w:pPr>
            <w:r>
              <w:rPr>
                <w:b w:val="false"/>
                <w:bCs w:val="false"/>
                <w:color w:val="222222"/>
                <w:sz w:val="17"/>
                <w:szCs w:val="17"/>
              </w:rPr>
              <w:t xml:space="preserve">12</w:t>
            </w:r>
          </w:p>
        </w:tc>
        <w:tc>
          <w:tcPr>
            <w:tcW w:type="dxa" w:w="2000"/>
            <w:shd w:fill="FFFFFF" w:val="clear"/>
            <w:tcMar>
              <w:top w:type="dxa" w:w="45"/>
              <w:left w:type="dxa" w:w="80"/>
              <w:bottom w:type="dxa" w:w="45"/>
              <w:right w:type="dxa" w:w="80"/>
            </w:tcMar>
          </w:tcPr>
          <w:p>
            <w:pPr>
              <w:jc w:val="center"/>
            </w:pPr>
            <w:r>
              <w:rPr>
                <w:b/>
                <w:bCs/>
                <w:color w:val="222222"/>
                <w:sz w:val="17"/>
                <w:szCs w:val="17"/>
              </w:rPr>
              <w:t xml:space="preserve">0.908</w:t>
            </w:r>
          </w:p>
        </w:tc>
        <w:tc>
          <w:tcPr>
            <w:tcW w:type="dxa" w:w="2960"/>
            <w:shd w:fill="FFFFFF" w:val="clear"/>
            <w:tcMar>
              <w:top w:type="dxa" w:w="45"/>
              <w:left w:type="dxa" w:w="80"/>
              <w:bottom w:type="dxa" w:w="45"/>
              <w:right w:type="dxa" w:w="80"/>
            </w:tcMar>
          </w:tcPr>
          <w:p>
            <w:pPr>
              <w:jc w:val="center"/>
            </w:pPr>
            <w:r>
              <w:rPr>
                <w:b w:val="false"/>
                <w:bCs w:val="false"/>
                <w:color w:val="222222"/>
                <w:sz w:val="17"/>
                <w:szCs w:val="17"/>
              </w:rPr>
              <w:t xml:space="preserve">AUROC matches/exceeds comparators (0.904, 0.9041); AUPRC/F1 trail arXiv's b=9 (see Section 5)</w:t>
            </w:r>
          </w:p>
        </w:tc>
      </w:tr>
      <w:tr>
        <w:tc>
          <w:tcPr>
            <w:tcW w:type="dxa" w:w="3200"/>
            <w:shd w:fill="F2F6FB" w:val="clear"/>
            <w:tcMar>
              <w:top w:type="dxa" w:w="45"/>
              <w:left w:type="dxa" w:w="80"/>
              <w:bottom w:type="dxa" w:w="45"/>
              <w:right w:type="dxa" w:w="80"/>
            </w:tcMar>
          </w:tcPr>
          <w:p>
            <w:pPr>
              <w:jc w:val="left"/>
            </w:pPr>
            <w:r>
              <w:rPr>
                <w:b/>
                <w:bCs/>
                <w:color w:val="222222"/>
                <w:sz w:val="17"/>
                <w:szCs w:val="17"/>
              </w:rPr>
              <w:t xml:space="preserve">Single-lead (23-feature hybrid)</w:t>
            </w:r>
          </w:p>
        </w:tc>
        <w:tc>
          <w:tcPr>
            <w:tcW w:type="dxa" w:w="1200"/>
            <w:shd w:fill="F2F6FB" w:val="clear"/>
            <w:tcMar>
              <w:top w:type="dxa" w:w="45"/>
              <w:left w:type="dxa" w:w="80"/>
              <w:bottom w:type="dxa" w:w="45"/>
              <w:right w:type="dxa" w:w="80"/>
            </w:tcMar>
          </w:tcPr>
          <w:p>
            <w:pPr>
              <w:jc w:val="center"/>
            </w:pPr>
            <w:r>
              <w:rPr>
                <w:b w:val="false"/>
                <w:bCs w:val="false"/>
                <w:color w:val="222222"/>
                <w:sz w:val="17"/>
                <w:szCs w:val="17"/>
              </w:rPr>
              <w:t xml:space="preserve">1</w:t>
            </w:r>
          </w:p>
        </w:tc>
        <w:tc>
          <w:tcPr>
            <w:tcW w:type="dxa" w:w="2000"/>
            <w:shd w:fill="F2F6FB" w:val="clear"/>
            <w:tcMar>
              <w:top w:type="dxa" w:w="45"/>
              <w:left w:type="dxa" w:w="80"/>
              <w:bottom w:type="dxa" w:w="45"/>
              <w:right w:type="dxa" w:w="80"/>
            </w:tcMar>
          </w:tcPr>
          <w:p>
            <w:pPr>
              <w:jc w:val="center"/>
            </w:pPr>
            <w:r>
              <w:rPr>
                <w:b/>
                <w:bCs/>
                <w:color w:val="222222"/>
                <w:sz w:val="17"/>
                <w:szCs w:val="17"/>
              </w:rPr>
              <w:t xml:space="preserve">0.852</w:t>
            </w:r>
          </w:p>
        </w:tc>
        <w:tc>
          <w:tcPr>
            <w:tcW w:type="dxa" w:w="2960"/>
            <w:shd w:fill="F2F6FB" w:val="clear"/>
            <w:tcMar>
              <w:top w:type="dxa" w:w="45"/>
              <w:left w:type="dxa" w:w="80"/>
              <w:bottom w:type="dxa" w:w="45"/>
              <w:right w:type="dxa" w:w="80"/>
            </w:tcMar>
          </w:tcPr>
          <w:p>
            <w:pPr>
              <w:jc w:val="center"/>
            </w:pPr>
            <w:r>
              <w:rPr>
                <w:b w:val="false"/>
                <w:bCs w:val="false"/>
                <w:color w:val="222222"/>
                <w:sz w:val="17"/>
                <w:szCs w:val="17"/>
              </w:rPr>
              <w:t xml:space="preserve">Exceeds EchoNext-Mini composite-SHD AUROC (0.820); no single-lead comparator available</w:t>
            </w:r>
          </w:p>
        </w:tc>
      </w:tr>
    </w:tbl>
    <w:p>
      <w:pPr>
        <w:pBdr>
          <w:top w:val="single" w:color="1F4E79" w:sz="14"/>
        </w:pBdr>
        <w:spacing w:after="40" w:before="300"/>
      </w:pPr>
      <w:r>
        <w:rPr>
          <w:b/>
          <w:bCs/>
          <w:color w:val="1F4E79"/>
        </w:rPr>
        <w:t xml:space="preserve">In one line: </w:t>
      </w:r>
      <w:r>
        <w:rPr>
          <w:i/>
          <w:iCs/>
        </w:rPr>
        <w:t xml:space="preserve">detecting HFrEF (the reduced-ejection-fraction form of heart failure) from ECG, this project's 12-lead model (AUROC 0.908) matches an independent, same-dataset benchmark study and a landmark 8-hospital study trained on 17× more data, while its single-lead model (AUROC 0.852) demonstrates that meaningful HFrEF detection survives reduction to the single electrical channel a real low-power wearable can provide.</w:t>
      </w:r>
    </w:p>
    <w:sectPr>
      <w:pgSz w:w="12240" w:h="15840" w:orient="portrait"/>
      <w:pgMar w:top="1080" w:right="1400" w:bottom="108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2026-07-17T07:48:40.829Z</dcterms:created>
  <dcterms:modified xsi:type="dcterms:W3CDTF">2026-07-17T07:48:40.841Z</dcterms:modified>
</cp:coreProperties>
</file>

<file path=docProps/custom.xml><?xml version="1.0" encoding="utf-8"?>
<Properties xmlns="http://schemas.openxmlformats.org/officeDocument/2006/custom-properties" xmlns:vt="http://schemas.openxmlformats.org/officeDocument/2006/docPropsVTypes"/>
</file>