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79" w:sz="20"/>
        </w:pBdr>
        <w:spacing w:after="40"/>
      </w:pPr>
      <w:r>
        <w:rPr>
          <w:b/>
          <w:bCs/>
          <w:color w:val="1F4E79"/>
          <w:sz w:val="40"/>
          <w:szCs w:val="40"/>
        </w:rPr>
        <w:t xml:space="preserve">The Single-Lead ECG Heart Failure Model</w:t>
      </w:r>
    </w:p>
    <w:p>
      <w:pPr>
        <w:spacing w:after="40"/>
      </w:pPr>
      <w:r>
        <w:rPr>
          <w:i/>
          <w:iCs/>
          <w:color w:val="595959"/>
          <w:sz w:val="22"/>
          <w:szCs w:val="22"/>
        </w:rPr>
        <w:t xml:space="preserve">A Complete Overview: What Was Built, Why, and What It Found</w:t>
      </w:r>
    </w:p>
    <w:p>
      <w:pPr>
        <w:spacing w:after="240"/>
      </w:pPr>
      <w:r>
        <w:rPr>
          <w:color w:val="595959"/>
          <w:sz w:val="19"/>
          <w:szCs w:val="19"/>
        </w:rPr>
        <w:t xml:space="preserve">Companion explainer to the project deck (Overview, Methodology, and Results pages)</w:t>
      </w:r>
    </w:p>
    <w:p>
      <w:pPr>
        <w:pStyle w:val="Heading1"/>
        <w:spacing w:after="130" w:before="320"/>
      </w:pPr>
      <w:r>
        <w:rPr>
          <w:b/>
          <w:bCs/>
          <w:color w:val="1F4E79"/>
        </w:rPr>
        <w:t xml:space="preserve">1. What This Model Is, In One Paragraph</w:t>
      </w:r>
    </w:p>
    <w:p>
      <w:pPr>
        <w:spacing w:after="120" w:line="276"/>
      </w:pPr>
      <w:r>
        <w:t xml:space="preserve">This model predicts heart failure with reduced ejection fraction (HFrEF) directly from a single electrocardiogram (ECG) lead — not the full 12-lead recording hospitals normally use, but the one electrical channel a low-power, wearable ECG chip can actually capture. It combines three different ways of “reading” the same signal (a learned deep-learning representation, a set of simple clinical measurements, and a novel mathematical shape-descriptor called a path signature) into one shared prediction. It was trained and evaluated entirely on public, de-identified patient data, and its real-world purpose is to act as an early screening signal from a wearable device — flagging patients who may warrant a closer look, not delivering a standalone diagnosis.</w:t>
      </w:r>
    </w:p>
    <w:p>
      <w:pPr>
        <w:pStyle w:val="Heading1"/>
        <w:spacing w:after="130" w:before="320"/>
      </w:pPr>
      <w:r>
        <w:rPr>
          <w:b/>
          <w:bCs/>
          <w:color w:val="1F4E79"/>
        </w:rPr>
        <w:t xml:space="preserve">2. Why Single-Lead, and Why This Mattered From the Start</w:t>
      </w:r>
    </w:p>
    <w:p>
      <w:pPr>
        <w:spacing w:after="120" w:line="276"/>
      </w:pPr>
      <w:r>
        <w:t xml:space="preserve">The project's governing constraint was hardware realism. The target device is built around the MAX30001 chip — confirmed from its own datasheet to be a single-channel ECG analog front-end. This is not a simplification chosen for convenience; it is a physical fact about the sensor a real wearable would use. A hospital 12-lead ECG uses ten electrodes and specialised equipment; a wearable chest patch or wristband cannot. So rather than building a model that only works in a hospital, this project deliberately trained and evaluated a model on exactly the signal the intended hardware produces — lead II, extracted from a larger public dataset, and nothing more.</w:t>
      </w:r>
    </w:p>
    <w:p>
      <w:pPr>
        <w:spacing w:after="120" w:line="276"/>
      </w:pPr>
      <w:r>
        <w:t xml:space="preserve">This choice has a real, honest cost: a single lead carries less information than twelve. The project quantified that cost directly by also building a full 12-lead version of the same underlying model, which reached a meaningfully higher score. The gap between the two is small and well-characterised — evidence that a genuinely wearable-compatible model is realistic without sacrificing most of the predictive power available from a full clinical ECG.</w:t>
      </w:r>
    </w:p>
    <w:p>
      <w:r>
        <w:br w:type="page"/>
      </w:r>
    </w:p>
    <w:p>
      <w:pPr>
        <w:pStyle w:val="Heading1"/>
        <w:spacing w:after="130" w:before="320"/>
      </w:pPr>
      <w:r>
        <w:rPr>
          <w:b/>
          <w:bCs/>
          <w:color w:val="1F4E79"/>
        </w:rPr>
        <w:t xml:space="preserve">3. The Dataset (EchoNext-Mini)</w:t>
      </w:r>
    </w:p>
    <w:p>
      <w:pPr>
        <w:spacing w:after="120" w:line="276"/>
      </w:pPr>
      <w:r>
        <w:t xml:space="preserve">The model was trained and tested on EchoNext-Mini, a public dataset hosted on PhysioNet, built from real, de-identified patient records at Columbia University Irving Medical Center.</w:t>
      </w:r>
    </w:p>
    <w:p>
      <w:pPr>
        <w:pStyle w:val="ListParagraph"/>
        <w:numPr>
          <w:ilvl w:val="0"/>
          <w:numId w:val="2"/>
        </w:numPr>
        <w:spacing w:after="80" w:line="270"/>
      </w:pPr>
      <w:r>
        <w:t xml:space="preserve">Scale: 100,000 ECG recordings from 36,286 adult patients, each recording paired with an echocardiogram (an ultrasound scan of the heart) performed within one year of the ECG.</w:t>
      </w:r>
    </w:p>
    <w:p>
      <w:pPr>
        <w:pStyle w:val="ListParagraph"/>
        <w:numPr>
          <w:ilvl w:val="0"/>
          <w:numId w:val="2"/>
        </w:numPr>
        <w:spacing w:after="80" w:line="270"/>
      </w:pPr>
      <w:r>
        <w:t xml:space="preserve">Original format: standard 12-lead ECGs, 10 seconds long, sampled 250 times per second, recorded on real hospital equipment (GE MUSE system).</w:t>
      </w:r>
    </w:p>
    <w:p>
      <w:pPr>
        <w:pStyle w:val="ListParagraph"/>
        <w:numPr>
          <w:ilvl w:val="0"/>
          <w:numId w:val="2"/>
        </w:numPr>
        <w:spacing w:after="80" w:line="270"/>
      </w:pPr>
      <w:r>
        <w:t xml:space="preserve">What was extracted for this project: lead II only, taken out of the 12-lead recording, to simulate exactly what the target wearable hardware would see. This is why the dataset is described as “single institution” — unlike some larger multi-hospital studies, every patient here was seen at the same hospital system, which keeps the comparison consistent but means the result has not yet been tested on a different hospital's patients.</w:t>
      </w:r>
    </w:p>
    <w:p>
      <w:pPr>
        <w:pStyle w:val="ListParagraph"/>
        <w:numPr>
          <w:ilvl w:val="0"/>
          <w:numId w:val="2"/>
        </w:numPr>
        <w:spacing w:after="80" w:line="270"/>
      </w:pPr>
      <w:r>
        <w:t xml:space="preserve">Labels: the echocardiogram reports provide the ground truth. A patient is labelled HFrEF-positive if their measured ejection fraction (the percentage of blood the heart pumps out with each beat) falls at or below 35 percent — a clinically recognised marker of a weak, poorly-pumping heart.</w:t>
      </w:r>
    </w:p>
    <w:p>
      <w:pPr>
        <w:pStyle w:val="ListParagraph"/>
        <w:numPr>
          <w:ilvl w:val="0"/>
          <w:numId w:val="2"/>
        </w:numPr>
        <w:spacing w:after="80" w:line="270"/>
      </w:pPr>
      <w:r>
        <w:t xml:space="preserve">Splitting: patients were divided into training (72,475 recordings), validation (4,626), and test (5,442) sets by patient, not by recording — verified so that no single patient's data leaks across more than one of the three groups, which would otherwise make the results look artificially better than they truly are.</w:t>
      </w:r>
    </w:p>
    <w:p>
      <w:pPr>
        <w:pStyle w:val="ListParagraph"/>
        <w:numPr>
          <w:ilvl w:val="0"/>
          <w:numId w:val="2"/>
        </w:numPr>
        <w:spacing w:after="80" w:line="270"/>
      </w:pPr>
      <w:r>
        <w:t xml:space="preserve">Class balance: roughly 1 in 6 to 7 patients in the test set is HFrEF-positive — a realistic, imbalanced rate consistent with how uncommon severe heart failure actually is in a general ECG-referred population, which is why several of the evaluation choices described later exist specifically to handle this imbalance fairly.</w:t>
      </w:r>
    </w:p>
    <w:p>
      <w:pPr>
        <w:pStyle w:val="Heading1"/>
        <w:spacing w:after="130" w:before="320"/>
      </w:pPr>
      <w:r>
        <w:rPr>
          <w:b/>
          <w:bCs/>
          <w:color w:val="1F4E79"/>
        </w:rPr>
        <w:t xml:space="preserve">4. The Model-Building Process, Step by Step, and the Reasoning Behind Each Choice</w:t>
      </w:r>
    </w:p>
    <w:p>
      <w:pPr>
        <w:pStyle w:val="Heading2"/>
        <w:spacing w:after="100" w:before="220"/>
      </w:pPr>
      <w:r>
        <w:rPr>
          <w:b/>
          <w:bCs/>
          <w:color w:val="2E74B5"/>
        </w:rPr>
        <w:t xml:space="preserve">Step 1 — Data Collection</w:t>
      </w:r>
    </w:p>
    <w:p>
      <w:pPr>
        <w:spacing w:after="120" w:line="276"/>
      </w:pPr>
      <w:r>
        <w:t xml:space="preserve">Lead II was extracted from the 12-lead source data, alongside simple clinical information already collected with every ECG: patient age, sex, and rate-related measurements. Nothing beyond what a real wearable and its accompanying patient record could supply was used.</w:t>
      </w:r>
    </w:p>
    <w:p>
      <w:pPr>
        <w:pStyle w:val="Heading2"/>
        <w:spacing w:after="100" w:before="220"/>
      </w:pPr>
      <w:r>
        <w:rPr>
          <w:b/>
          <w:bCs/>
          <w:color w:val="2E74B5"/>
        </w:rPr>
        <w:t xml:space="preserve">Step 2 — Preprocessing</w:t>
      </w:r>
    </w:p>
    <w:p>
      <w:pPr>
        <w:pStyle w:val="ListParagraph"/>
        <w:numPr>
          <w:ilvl w:val="0"/>
          <w:numId w:val="2"/>
        </w:numPr>
        <w:spacing w:after="80" w:line="270"/>
      </w:pPr>
      <w:r>
        <w:t xml:space="preserve">Signal normalisation (z-score standardisation): every ECG is rescaled to a common numeric range, so the model compares waveform shape rather than being thrown off by a patient-to-patient difference in raw signal amplitude.</w:t>
      </w:r>
    </w:p>
    <w:p>
      <w:pPr>
        <w:pStyle w:val="ListParagraph"/>
        <w:numPr>
          <w:ilvl w:val="0"/>
          <w:numId w:val="2"/>
        </w:numPr>
        <w:spacing w:after="80" w:line="270"/>
      </w:pPr>
      <w:r>
        <w:t xml:space="preserve">R-peak detection: an algorithm locates the sharp spike in each heartbeat, which is the reference point every later measurement (heart rate, rhythm variability) is built from.</w:t>
      </w:r>
    </w:p>
    <w:p>
      <w:pPr>
        <w:pStyle w:val="ListParagraph"/>
        <w:numPr>
          <w:ilvl w:val="0"/>
          <w:numId w:val="2"/>
        </w:numPr>
        <w:spacing w:after="80" w:line="270"/>
      </w:pPr>
      <w:r>
        <w:t xml:space="preserve">Missing-value imputation: a small number of clinical fields were occasionally missing; these were filled in using the median value learned from the training set only, so that no information from the validation or test patients ever leaked into this step.</w:t>
      </w:r>
    </w:p>
    <w:p>
      <w:pPr>
        <w:pStyle w:val="ListParagraph"/>
        <w:numPr>
          <w:ilvl w:val="0"/>
          <w:numId w:val="2"/>
        </w:numPr>
        <w:spacing w:after="80" w:line="270"/>
      </w:pPr>
      <w:r>
        <w:t xml:space="preserve">Patient-level splitting: performed here, and re-verified, for the leakage-safety reason already described in Section 3.</w:t>
      </w:r>
    </w:p>
    <w:p>
      <w:pPr>
        <w:pStyle w:val="Heading2"/>
        <w:spacing w:after="100" w:before="220"/>
      </w:pPr>
      <w:r>
        <w:rPr>
          <w:b/>
          <w:bCs/>
          <w:color w:val="2E74B5"/>
        </w:rPr>
        <w:t xml:space="preserve">Step 3 — Multi-Modal Feature Extraction (three parallel branches)</w:t>
      </w:r>
    </w:p>
    <w:p>
      <w:pPr>
        <w:spacing w:after="120" w:line="276"/>
      </w:pPr>
      <w:r>
        <w:t xml:space="preserve">This is the technical core of the model. Rather than relying on one single technique to interpret the ECG, three different, complementary methods each look at the same signal and are combined afterward.</w:t>
      </w:r>
    </w:p>
    <w:p>
      <w:pPr>
        <w:pStyle w:val="ListParagraph"/>
        <w:numPr>
          <w:ilvl w:val="0"/>
          <w:numId w:val="2"/>
        </w:numPr>
        <w:spacing w:after="80" w:line="270"/>
      </w:pPr>
      <w:r>
        <w:rPr>
          <w:b/>
          <w:bCs/>
        </w:rPr>
        <w:t xml:space="preserve">Waveform branch (deep learning): </w:t>
      </w:r>
      <w:r>
        <w:t xml:space="preserve">a 1D convolutional neural network (CNN) first scans the raw signal for small, local shapes (e.g., the sharp spike of a heartbeat). A Transformer encoder then looks across the whole 10-second window and learns how those local shapes relate to each other over time. This is a hybrid architecture, not a plain CNN — a deliberate choice, explained in Section 6.</w:t>
      </w:r>
    </w:p>
    <w:p>
      <w:pPr>
        <w:pStyle w:val="ListParagraph"/>
        <w:numPr>
          <w:ilvl w:val="0"/>
          <w:numId w:val="2"/>
        </w:numPr>
        <w:spacing w:after="80" w:line="270"/>
      </w:pPr>
      <w:r>
        <w:rPr>
          <w:b/>
          <w:bCs/>
        </w:rPr>
        <w:t xml:space="preserve">Tabular branch (clinical statistics): </w:t>
      </w:r>
      <w:r>
        <w:t xml:space="preserve">a small neural network processes simple, well-understood numbers computed directly from the same lead — heart rate, the width of the QRS spike, and two standard heart-rate-variability statistics (SDNN and RMSSD). These are the kind of numbers a cardiologist already looks at.</w:t>
      </w:r>
    </w:p>
    <w:p>
      <w:pPr>
        <w:pStyle w:val="ListParagraph"/>
        <w:numPr>
          <w:ilvl w:val="0"/>
          <w:numId w:val="2"/>
        </w:numPr>
        <w:spacing w:after="80" w:line="270"/>
      </w:pPr>
      <w:r>
        <w:rPr>
          <w:b/>
          <w:bCs/>
        </w:rPr>
        <w:t xml:space="preserve">Path-signature branch (the project's novel contribution): </w:t>
      </w:r>
      <w:r>
        <w:t xml:space="preserve">a mathematical technique from an area of mathematics called rough path theory converts the ECG's shape into a set of numbers describing not just simple statistics, but the order and interaction of how the waveform moves — information a basic average or maximum value cannot capture. This method had never previously been applied to detecting heart failure or structural heart disease on this kind of dataset.</w:t>
      </w:r>
    </w:p>
    <w:p>
      <w:pPr>
        <w:pStyle w:val="Heading2"/>
        <w:spacing w:after="100" w:before="220"/>
      </w:pPr>
      <w:r>
        <w:rPr>
          <w:b/>
          <w:bCs/>
          <w:color w:val="2E74B5"/>
        </w:rPr>
        <w:t xml:space="preserve">Step 4 — Fusion and Risk Prediction</w:t>
      </w:r>
    </w:p>
    <w:p>
      <w:pPr>
        <w:pStyle w:val="ListParagraph"/>
        <w:numPr>
          <w:ilvl w:val="0"/>
          <w:numId w:val="2"/>
        </w:numPr>
        <w:spacing w:after="80" w:line="270"/>
      </w:pPr>
      <w:r>
        <w:t xml:space="preserve">The three feature sets (from the three branches above) are joined together into one combined description of the patient's ECG.</w:t>
      </w:r>
    </w:p>
    <w:p>
      <w:pPr>
        <w:pStyle w:val="ListParagraph"/>
        <w:numPr>
          <w:ilvl w:val="0"/>
          <w:numId w:val="2"/>
        </w:numPr>
        <w:spacing w:after="80" w:line="270"/>
      </w:pPr>
      <w:r>
        <w:t xml:space="preserve">This combined description passes through a shared set of fully-connected layers, with dropout (a technique that randomly ignores some connections during training to prevent the model from memorising the training data too closely).</w:t>
      </w:r>
    </w:p>
    <w:p>
      <w:pPr>
        <w:pStyle w:val="ListParagraph"/>
        <w:numPr>
          <w:ilvl w:val="0"/>
          <w:numId w:val="2"/>
        </w:numPr>
        <w:spacing w:after="80" w:line="270"/>
      </w:pPr>
      <w:r>
        <w:t xml:space="preserve">Separate output units (“heads”) then each produce one risk score. The model was built to predict four related structural-heart findings simultaneously from this one shared representation — not just HFrEF alone — with HFrEF kept as the primary, headline target throughout.</w:t>
      </w:r>
    </w:p>
    <w:p>
      <w:pPr>
        <w:pStyle w:val="Heading2"/>
        <w:spacing w:after="100" w:before="220"/>
      </w:pPr>
      <w:r>
        <w:rPr>
          <w:b/>
          <w:bCs/>
          <w:color w:val="2E74B5"/>
        </w:rPr>
        <w:t xml:space="preserve">Step 5 — Output</w:t>
      </w:r>
    </w:p>
    <w:p>
      <w:pPr>
        <w:spacing w:after="120" w:line="276"/>
      </w:pPr>
      <w:r>
        <w:t xml:space="preserve">The final output is a single number between 0 and 1 for each condition — a probability, not a certainty. This is explicitly framed as a screening signal (something that could prompt a clinician to take a closer look) rather than a standalone diagnostic tool. Formal low/moderate/high risk categories were deliberately not defined, since setting a clinically responsible threshold requires dedicated validation work beyond this project's current scope.</w:t>
      </w:r>
    </w:p>
    <w:p>
      <w:r>
        <w:br w:type="page"/>
      </w:r>
    </w:p>
    <w:p>
      <w:pPr>
        <w:pStyle w:val="Heading2"/>
        <w:spacing w:after="100" w:before="220"/>
      </w:pPr>
      <w:r>
        <w:rPr>
          <w:b/>
          <w:bCs/>
          <w:color w:val="2E74B5"/>
        </w:rPr>
        <w:t xml:space="preserve">Step 6 — Training Strategy, and Why Each Technique Was Used</w:t>
      </w:r>
    </w:p>
    <w:p>
      <w:pPr>
        <w:pStyle w:val="ListParagraph"/>
        <w:numPr>
          <w:ilvl w:val="0"/>
          <w:numId w:val="2"/>
        </w:numPr>
        <w:spacing w:after="80" w:line="270"/>
      </w:pPr>
      <w:r>
        <w:rPr>
          <w:b/>
          <w:bCs/>
        </w:rPr>
        <w:t xml:space="preserve">Class-weighted loss function: </w:t>
      </w:r>
      <w:r>
        <w:t xml:space="preserve">because HFrEF-positive patients are a minority in the data, the training process was told to penalise mistakes on positive cases more heavily, so the model does not take the easy shortcut of simply predicting “no heart failure” for everyone. A focal loss variant (which additionally focuses learning on the hardest, most ambiguous cases) was also tested as an alternative.</w:t>
      </w:r>
    </w:p>
    <w:p>
      <w:pPr>
        <w:pStyle w:val="ListParagraph"/>
        <w:numPr>
          <w:ilvl w:val="0"/>
          <w:numId w:val="2"/>
        </w:numPr>
        <w:spacing w:after="80" w:line="270"/>
      </w:pPr>
      <w:r>
        <w:rPr>
          <w:b/>
          <w:bCs/>
        </w:rPr>
        <w:t xml:space="preserve">Data augmentation (training data only): </w:t>
      </w:r>
      <w:r>
        <w:t xml:space="preserve">small, realistic random changes — shifting the signal slightly in time, gently scaling its amplitude, adding a touch of noise — were applied only during training, teaching the model to focus on genuine heartbeat patterns rather than memorising exact pixel-for-pixel details of the training recordings.</w:t>
      </w:r>
    </w:p>
    <w:p>
      <w:pPr>
        <w:pStyle w:val="ListParagraph"/>
        <w:numPr>
          <w:ilvl w:val="0"/>
          <w:numId w:val="2"/>
        </w:numPr>
        <w:spacing w:after="80" w:line="270"/>
      </w:pPr>
      <w:r>
        <w:rPr>
          <w:b/>
          <w:bCs/>
        </w:rPr>
        <w:t xml:space="preserve">AdamW optimizer with weight decay: </w:t>
      </w:r>
      <w:r>
        <w:t xml:space="preserve">a standard, reliable method for adjusting the model's internal numbers during training, with an added penalty that discourages the model from becoming overly complex.</w:t>
      </w:r>
    </w:p>
    <w:p>
      <w:pPr>
        <w:pStyle w:val="ListParagraph"/>
        <w:numPr>
          <w:ilvl w:val="0"/>
          <w:numId w:val="2"/>
        </w:numPr>
        <w:spacing w:after="80" w:line="270"/>
      </w:pPr>
      <w:r>
        <w:rPr>
          <w:b/>
          <w:bCs/>
        </w:rPr>
        <w:t xml:space="preserve">Cosine annealing learning rate schedule: </w:t>
      </w:r>
      <w:r>
        <w:t xml:space="preserve">the pace of learning is gradually and smoothly reduced over the course of training, allowing large adjustments early on and fine, careful adjustments later.</w:t>
      </w:r>
    </w:p>
    <w:p>
      <w:pPr>
        <w:pStyle w:val="ListParagraph"/>
        <w:numPr>
          <w:ilvl w:val="0"/>
          <w:numId w:val="2"/>
        </w:numPr>
        <w:spacing w:after="80" w:line="270"/>
      </w:pPr>
      <w:r>
        <w:rPr>
          <w:b/>
          <w:bCs/>
        </w:rPr>
        <w:t xml:space="preserve">Gradient clipping: </w:t>
      </w:r>
      <w:r>
        <w:t xml:space="preserve">a safety mechanism that prevents any single training step from making an excessively large, destabilising change to the model.</w:t>
      </w:r>
    </w:p>
    <w:p>
      <w:pPr>
        <w:pStyle w:val="ListParagraph"/>
        <w:numPr>
          <w:ilvl w:val="0"/>
          <w:numId w:val="2"/>
        </w:numPr>
        <w:spacing w:after="80" w:line="270"/>
      </w:pPr>
      <w:r>
        <w:rPr>
          <w:b/>
          <w:bCs/>
        </w:rPr>
        <w:t xml:space="preserve">Early stopping on validation AUROC: </w:t>
      </w:r>
      <w:r>
        <w:t xml:space="preserve">training was stopped, and the best-performing version of the model kept, based on its performance on a held-out validation set — never the test set — which prevents the model from being selected in a way that flatters the final, honest test result.</w:t>
      </w:r>
    </w:p>
    <w:p>
      <w:pPr>
        <w:pStyle w:val="ListParagraph"/>
        <w:numPr>
          <w:ilvl w:val="0"/>
          <w:numId w:val="2"/>
        </w:numPr>
        <w:spacing w:after="80" w:line="270"/>
      </w:pPr>
      <w:r>
        <w:rPr>
          <w:b/>
          <w:bCs/>
        </w:rPr>
        <w:t xml:space="preserve">Trained entirely from scratch: </w:t>
      </w:r>
      <w:r>
        <w:t xml:space="preserve">unlike the larger 12-lead version of this project (which started from a pretrained foundation model), this compact, 0.81-million-parameter model learned everything from the training data directly — appropriate given its smaller size and the single-lead task.</w:t>
      </w:r>
    </w:p>
    <w:p>
      <w:pPr>
        <w:pStyle w:val="Heading2"/>
        <w:spacing w:after="100" w:before="220"/>
      </w:pPr>
      <w:r>
        <w:rPr>
          <w:b/>
          <w:bCs/>
          <w:color w:val="2E74B5"/>
        </w:rPr>
        <w:t xml:space="preserve">Step 7 — Evaluation Metrics, and Why Each One Was Chosen</w:t>
      </w:r>
    </w:p>
    <w:p>
      <w:pPr>
        <w:pStyle w:val="ListParagraph"/>
        <w:numPr>
          <w:ilvl w:val="0"/>
          <w:numId w:val="2"/>
        </w:numPr>
        <w:spacing w:after="80" w:line="270"/>
      </w:pPr>
      <w:r>
        <w:rPr>
          <w:b/>
          <w:bCs/>
        </w:rPr>
        <w:t xml:space="preserve">AUROC: </w:t>
      </w:r>
      <w:r>
        <w:t xml:space="preserve">the probability that the model ranks a randomly chosen positive (HFrEF) patient higher than a randomly chosen negative patient. The single most standard measure of a classifier's ability to distinguish the two groups.</w:t>
      </w:r>
    </w:p>
    <w:p>
      <w:pPr>
        <w:pStyle w:val="ListParagraph"/>
        <w:numPr>
          <w:ilvl w:val="0"/>
          <w:numId w:val="2"/>
        </w:numPr>
        <w:spacing w:after="80" w:line="270"/>
      </w:pPr>
      <w:r>
        <w:rPr>
          <w:b/>
          <w:bCs/>
        </w:rPr>
        <w:t xml:space="preserve">AUPRC: </w:t>
      </w:r>
      <w:r>
        <w:t xml:space="preserve">a companion measure that is more informative than AUROC specifically when the positive class is uncommon, as HFrEF is here — it focuses on how well the model performs specifically around its positive predictions.</w:t>
      </w:r>
    </w:p>
    <w:p>
      <w:pPr>
        <w:pStyle w:val="ListParagraph"/>
        <w:numPr>
          <w:ilvl w:val="0"/>
          <w:numId w:val="2"/>
        </w:numPr>
        <w:spacing w:after="80" w:line="270"/>
      </w:pPr>
      <w:r>
        <w:rPr>
          <w:b/>
          <w:bCs/>
        </w:rPr>
        <w:t xml:space="preserve">Accuracy and Balanced Accuracy: </w:t>
      </w:r>
      <w:r>
        <w:t xml:space="preserve">plain accuracy can be misleading on imbalanced data (a model that always says “no” can still look accurate); balanced accuracy averages performance on both classes to correct for this.</w:t>
      </w:r>
    </w:p>
    <w:p>
      <w:pPr>
        <w:pStyle w:val="ListParagraph"/>
        <w:numPr>
          <w:ilvl w:val="0"/>
          <w:numId w:val="2"/>
        </w:numPr>
        <w:spacing w:after="80" w:line="270"/>
      </w:pPr>
      <w:r>
        <w:rPr>
          <w:b/>
          <w:bCs/>
        </w:rPr>
        <w:t xml:space="preserve">Recall (Sensitivity) and Specificity: </w:t>
      </w:r>
      <w:r>
        <w:t xml:space="preserve">how many true HFrEF patients are correctly caught, versus how many true non-HFrEF patients are correctly cleared — the two sides of any screening tool's real-world trade-off.</w:t>
      </w:r>
    </w:p>
    <w:p>
      <w:pPr>
        <w:pStyle w:val="ListParagraph"/>
        <w:numPr>
          <w:ilvl w:val="0"/>
          <w:numId w:val="2"/>
        </w:numPr>
        <w:spacing w:after="80" w:line="270"/>
      </w:pPr>
      <w:r>
        <w:rPr>
          <w:b/>
          <w:bCs/>
        </w:rPr>
        <w:t xml:space="preserve">F1 Score: </w:t>
      </w:r>
      <w:r>
        <w:t xml:space="preserve">a single number balancing precision and recall together, useful as a compact summary at a specific decision threshold.</w:t>
      </w:r>
    </w:p>
    <w:p>
      <w:pPr>
        <w:pStyle w:val="ListParagraph"/>
        <w:numPr>
          <w:ilvl w:val="0"/>
          <w:numId w:val="2"/>
        </w:numPr>
        <w:spacing w:after="80" w:line="270"/>
      </w:pPr>
      <w:r>
        <w:rPr>
          <w:b/>
          <w:bCs/>
        </w:rPr>
        <w:t xml:space="preserve">Brier Score: </w:t>
      </w:r>
      <w:r>
        <w:t xml:space="preserve">measures how well-calibrated the model's probability outputs are — whether a predicted “70% risk” actually behaves like a 70% risk in practice, not just whether the model ranks patients correctly.</w:t>
      </w:r>
    </w:p>
    <w:p>
      <w:pPr>
        <w:pStyle w:val="ListParagraph"/>
        <w:numPr>
          <w:ilvl w:val="0"/>
          <w:numId w:val="2"/>
        </w:numPr>
        <w:spacing w:after="80" w:line="270"/>
      </w:pPr>
      <w:r>
        <w:rPr>
          <w:b/>
          <w:bCs/>
        </w:rPr>
        <w:t xml:space="preserve">ROC Curve, Precision-Recall Curve, and Confusion Matrix: </w:t>
      </w:r>
      <w:r>
        <w:t xml:space="preserve">the standard visual companions to the above numbers, showing the full trade-off curve and the exact count of correct and incorrect predictions in each category.</w:t>
      </w:r>
    </w:p>
    <w:p>
      <w:pPr>
        <w:pStyle w:val="Heading2"/>
        <w:spacing w:after="100" w:before="220"/>
      </w:pPr>
      <w:r>
        <w:rPr>
          <w:b/>
          <w:bCs/>
          <w:color w:val="2E74B5"/>
        </w:rPr>
        <w:t xml:space="preserve">Key Contributions Worth Highlighting</w:t>
      </w:r>
    </w:p>
    <w:p>
      <w:pPr>
        <w:pStyle w:val="ListParagraph"/>
        <w:numPr>
          <w:ilvl w:val="0"/>
          <w:numId w:val="2"/>
        </w:numPr>
        <w:spacing w:after="80" w:line="270"/>
      </w:pPr>
      <w:r>
        <w:t xml:space="preserve">The path-signature transform is a genuinely new application of an existing mathematical method to this kind of heart-failure detection task.</w:t>
      </w:r>
    </w:p>
    <w:p>
      <w:pPr>
        <w:pStyle w:val="ListParagraph"/>
        <w:numPr>
          <w:ilvl w:val="0"/>
          <w:numId w:val="2"/>
        </w:numPr>
        <w:spacing w:after="80" w:line="270"/>
      </w:pPr>
      <w:r>
        <w:t xml:space="preserve">The CNN-Transformer hybrid architecture was a deliberate choice to avoid simply reusing the same architecture family (a plain CNN) that the original dataset's own baseline model used.</w:t>
      </w:r>
    </w:p>
    <w:p>
      <w:pPr>
        <w:pStyle w:val="ListParagraph"/>
        <w:numPr>
          <w:ilvl w:val="0"/>
          <w:numId w:val="2"/>
        </w:numPr>
        <w:spacing w:after="80" w:line="270"/>
      </w:pPr>
      <w:r>
        <w:t xml:space="preserve">An honest leakage check was performed: the clinical statistics were recomputed from lead II alone, and confirmed to perform nearly identically to versions that would have secretly relied on the full 12-lead recording — confirming the single-lead result is genuine, not inflated by borrowed information.</w:t>
      </w:r>
    </w:p>
    <w:p>
      <w:pPr>
        <w:pStyle w:val="ListParagraph"/>
        <w:numPr>
          <w:ilvl w:val="0"/>
          <w:numId w:val="2"/>
        </w:numPr>
        <w:spacing w:after="80" w:line="270"/>
      </w:pPr>
      <w:r>
        <w:t xml:space="preserve">The model predicts four related structural-heart findings from one shared representation, with a small, honestly quantified accuracy trade-off measured for that added breadth.</w:t>
      </w:r>
    </w:p>
    <w:p>
      <w:pPr>
        <w:pStyle w:val="ListParagraph"/>
        <w:numPr>
          <w:ilvl w:val="0"/>
          <w:numId w:val="2"/>
        </w:numPr>
        <w:spacing w:after="80" w:line="270"/>
      </w:pPr>
      <w:r>
        <w:t xml:space="preserve">Results were benchmarked against three independent, published sources: the original EchoNext study (Nature, 2025), the EchoNext-Mini dataset paper (NEJM AI, 2026), and an independent research group's domain-adaptation study using the same dataset and split (arXiv, 2026).</w:t>
      </w:r>
    </w:p>
    <w:p>
      <w:r>
        <w:br w:type="page"/>
      </w:r>
    </w:p>
    <w:p>
      <w:pPr>
        <w:pStyle w:val="Heading1"/>
        <w:spacing w:after="130" w:before="320"/>
      </w:pPr>
      <w:r>
        <w:rPr>
          <w:b/>
          <w:bCs/>
          <w:color w:val="1F4E79"/>
        </w:rPr>
        <w:t xml:space="preserve">5. Explaining the Results Page in Full</w:t>
      </w:r>
    </w:p>
    <w:p>
      <w:pPr>
        <w:spacing w:after="120" w:line="276"/>
      </w:pPr>
      <w:r>
        <w:t xml:space="preserve">The results shown were produced on the held-out test set of 4,827 patients whose HFrEF status was confirmed by echocardiogram — data the model never saw during training or model selection.</w:t>
      </w:r>
    </w:p>
    <w:p>
      <w:pPr>
        <w:pStyle w:val="Heading2"/>
        <w:spacing w:after="100" w:before="220"/>
      </w:pPr>
      <w:r>
        <w:rPr>
          <w:b/>
          <w:bCs/>
          <w:color w:val="2E74B5"/>
        </w:rPr>
        <w:t xml:space="preserve">The headline number</w:t>
      </w:r>
    </w:p>
    <w:tbl>
      <w:tblPr>
        <w:tblW w:type="pct" w:w="100%"/>
        <w:tblBorders>
          <w:top w:val="single" w:color="2E7D32" w:sz="2"/>
          <w:left w:val="single" w:color="2E7D32" w:sz="14"/>
          <w:bottom w:val="single" w:color="2E7D32" w:sz="2"/>
          <w:right w:val="single" w:color="2E7D32" w:sz="2"/>
          <w:insideH w:val="none"/>
          <w:insideV w:val="none"/>
        </w:tblBorders>
      </w:tblPr>
      <w:tblGrid>
        <w:gridCol w:w="9360"/>
      </w:tblGrid>
      <w:tr>
        <w:tc>
          <w:tcPr>
            <w:tcW w:type="dxa" w:w="9360"/>
            <w:shd w:fill="E8F5E9" w:val="clear"/>
            <w:tcMar>
              <w:top w:type="dxa" w:w="130"/>
              <w:left w:type="dxa" w:w="190"/>
              <w:bottom w:type="dxa" w:w="130"/>
              <w:right w:type="dxa" w:w="190"/>
            </w:tcMar>
          </w:tcPr>
          <w:p>
            <w:pPr>
              <w:spacing w:after="60"/>
            </w:pPr>
            <w:r>
              <w:rPr>
                <w:b/>
                <w:bCs/>
                <w:color w:val="1F4E79"/>
              </w:rPr>
              <w:t xml:space="preserve">AUROC = 0.8571, 95% Confidence Interval [0.8419, 0.8713]</w:t>
            </w:r>
          </w:p>
          <w:p>
            <w:pPr>
              <w:spacing w:after="40" w:line="270"/>
            </w:pPr>
            <w:r>
              <w:t xml:space="preserve">This means the model correctly ranks a true HFrEF patient as higher-risk than a true non-HFrEF patient about 85.7% of the time. The confidence interval, calculated using a statistical resampling technique (bootstrapping, 2,000 resamples), shows the range this number would plausibly fall in if the test were repeated on a similarly-sized new sample — a narrow, reassuringly tight range here, indicating the result is stable and not a fluke of this particular 4,827-patient sample.</w:t>
            </w:r>
          </w:p>
        </w:tc>
      </w:tr>
    </w:tbl>
    <w:p>
      <w:pPr>
        <w:pStyle w:val="Heading2"/>
        <w:spacing w:after="100" w:before="220"/>
      </w:pPr>
      <w:r>
        <w:rPr>
          <w:b/>
          <w:bCs/>
          <w:color w:val="2E74B5"/>
        </w:rPr>
        <w:t xml:space="preserve">The ROC Curve</w:t>
      </w:r>
    </w:p>
    <w:p>
      <w:pPr>
        <w:spacing w:after="120" w:line="276"/>
      </w:pPr>
      <w:r>
        <w:t xml:space="preserve">The orange line bows sharply toward the top-left corner of the chart, well above the diagonal dashed “chance” line — visual confirmation that the model is genuinely discriminating between the two patient groups, not guessing.</w:t>
      </w:r>
    </w:p>
    <w:p>
      <w:pPr>
        <w:pStyle w:val="Heading2"/>
        <w:spacing w:after="100" w:before="220"/>
      </w:pPr>
      <w:r>
        <w:rPr>
          <w:b/>
          <w:bCs/>
          <w:color w:val="2E74B5"/>
        </w:rPr>
        <w:t xml:space="preserve">The Precision-Recall Curve</w:t>
      </w:r>
    </w:p>
    <w:p>
      <w:pPr>
        <w:spacing w:after="120" w:line="276"/>
      </w:pPr>
      <w:r>
        <w:t xml:space="preserve">This curve starts high and gradually declines as more patients are flagged — the expected, healthy shape. The dashed “chance” line sits at 0.124, matching the roughly 12% HFrEF rate in this data; the model's curve sits well above it throughout, confirming genuine predictive value specifically on the harder, imbalanced-data question of correctly identifying positive cases.</w:t>
      </w:r>
    </w:p>
    <w:p>
      <w:pPr>
        <w:pStyle w:val="Heading2"/>
        <w:spacing w:after="100" w:before="220"/>
      </w:pPr>
      <w:r>
        <w:rPr>
          <w:b/>
          <w:bCs/>
          <w:color w:val="2E74B5"/>
        </w:rPr>
        <w:t xml:space="preserve">The Confusion Matrix</w:t>
      </w:r>
    </w:p>
    <w:p>
      <w:pPr>
        <w:spacing w:after="20"/>
      </w:pPr>
    </w:p>
    <w:tbl>
      <w:tblPr>
        <w:tblW w:type="dxa" w:w="9560"/>
        <w:tblBorders>
          <w:top w:val="single" w:color="AAB6C4" w:sz="2"/>
          <w:left w:val="none"/>
          <w:bottom w:val="single" w:color="AAB6C4" w:sz="2"/>
          <w:right w:val="none"/>
          <w:insideH w:val="single" w:color="D6DEE8" w:sz="1"/>
          <w:insideV w:val="single" w:color="D6DEE8" w:sz="1"/>
        </w:tblBorders>
      </w:tblPr>
      <w:tblGrid>
        <w:gridCol w:w="3200"/>
        <w:gridCol w:w="3200"/>
        <w:gridCol w:w="3160"/>
      </w:tblGrid>
      <w:tr>
        <w:trPr>
          <w:tblHeader/>
        </w:trPr>
        <w:tc>
          <w:tcPr>
            <w:tcW w:type="dxa" w:w="3200"/>
            <w:shd w:fill="1F4E79" w:val="clear"/>
            <w:tcMar>
              <w:top w:type="dxa" w:w="60"/>
              <w:left w:type="dxa" w:w="80"/>
              <w:bottom w:type="dxa" w:w="60"/>
              <w:right w:type="dxa" w:w="80"/>
            </w:tcMar>
          </w:tcPr>
          <w:p>
            <w:pPr>
              <w:jc w:val="left"/>
            </w:pPr>
            <w:r>
              <w:rPr>
                <w:b/>
                <w:bCs/>
                <w:color w:val="FFFFFF"/>
                <w:sz w:val="17"/>
                <w:szCs w:val="17"/>
              </w:rPr>
              <w:t xml:space="preserve"/>
            </w:r>
          </w:p>
        </w:tc>
        <w:tc>
          <w:tcPr>
            <w:tcW w:type="dxa" w:w="3200"/>
            <w:shd w:fill="1F4E79" w:val="clear"/>
            <w:tcMar>
              <w:top w:type="dxa" w:w="60"/>
              <w:left w:type="dxa" w:w="80"/>
              <w:bottom w:type="dxa" w:w="60"/>
              <w:right w:type="dxa" w:w="80"/>
            </w:tcMar>
          </w:tcPr>
          <w:p>
            <w:pPr>
              <w:jc w:val="center"/>
            </w:pPr>
            <w:r>
              <w:rPr>
                <w:b/>
                <w:bCs/>
                <w:color w:val="FFFFFF"/>
                <w:sz w:val="17"/>
                <w:szCs w:val="17"/>
              </w:rPr>
              <w:t xml:space="preserve">Predicted: No HFrEF</w:t>
            </w:r>
          </w:p>
        </w:tc>
        <w:tc>
          <w:tcPr>
            <w:tcW w:type="dxa" w:w="3160"/>
            <w:shd w:fill="1F4E79" w:val="clear"/>
            <w:tcMar>
              <w:top w:type="dxa" w:w="60"/>
              <w:left w:type="dxa" w:w="80"/>
              <w:bottom w:type="dxa" w:w="60"/>
              <w:right w:type="dxa" w:w="80"/>
            </w:tcMar>
          </w:tcPr>
          <w:p>
            <w:pPr>
              <w:jc w:val="center"/>
            </w:pPr>
            <w:r>
              <w:rPr>
                <w:b/>
                <w:bCs/>
                <w:color w:val="FFFFFF"/>
                <w:sz w:val="17"/>
                <w:szCs w:val="17"/>
              </w:rPr>
              <w:t xml:space="preserve">Predicted: HFrEF</w:t>
            </w:r>
          </w:p>
        </w:tc>
      </w:tr>
      <w:tr>
        <w:tc>
          <w:tcPr>
            <w:tcW w:type="dxa" w:w="3200"/>
            <w:shd w:fill="FFFFFF" w:val="clear"/>
            <w:tcMar>
              <w:top w:type="dxa" w:w="45"/>
              <w:left w:type="dxa" w:w="80"/>
              <w:bottom w:type="dxa" w:w="45"/>
              <w:right w:type="dxa" w:w="80"/>
            </w:tcMar>
          </w:tcPr>
          <w:p>
            <w:pPr>
              <w:jc w:val="left"/>
            </w:pPr>
            <w:r>
              <w:rPr>
                <w:b w:val="false"/>
                <w:bCs w:val="false"/>
                <w:color w:val="222222"/>
                <w:sz w:val="17"/>
                <w:szCs w:val="17"/>
              </w:rPr>
              <w:t xml:space="preserve">Actual: No HFrEF</w:t>
            </w:r>
          </w:p>
        </w:tc>
        <w:tc>
          <w:tcPr>
            <w:tcW w:type="dxa" w:w="3200"/>
            <w:shd w:fill="FFFFFF" w:val="clear"/>
            <w:tcMar>
              <w:top w:type="dxa" w:w="45"/>
              <w:left w:type="dxa" w:w="80"/>
              <w:bottom w:type="dxa" w:w="45"/>
              <w:right w:type="dxa" w:w="80"/>
            </w:tcMar>
          </w:tcPr>
          <w:p>
            <w:pPr>
              <w:jc w:val="center"/>
            </w:pPr>
            <w:r>
              <w:rPr>
                <w:b w:val="false"/>
                <w:bCs w:val="false"/>
                <w:color w:val="222222"/>
                <w:sz w:val="17"/>
                <w:szCs w:val="17"/>
              </w:rPr>
              <w:t xml:space="preserve">3,385 (correct)</w:t>
            </w:r>
          </w:p>
        </w:tc>
        <w:tc>
          <w:tcPr>
            <w:tcW w:type="dxa" w:w="3160"/>
            <w:shd w:fill="FFFFFF" w:val="clear"/>
            <w:tcMar>
              <w:top w:type="dxa" w:w="45"/>
              <w:left w:type="dxa" w:w="80"/>
              <w:bottom w:type="dxa" w:w="45"/>
              <w:right w:type="dxa" w:w="80"/>
            </w:tcMar>
          </w:tcPr>
          <w:p>
            <w:pPr>
              <w:jc w:val="center"/>
            </w:pPr>
            <w:r>
              <w:rPr>
                <w:b w:val="false"/>
                <w:bCs w:val="false"/>
                <w:color w:val="222222"/>
                <w:sz w:val="17"/>
                <w:szCs w:val="17"/>
              </w:rPr>
              <w:t xml:space="preserve">843 (false alarm)</w:t>
            </w:r>
          </w:p>
        </w:tc>
      </w:tr>
      <w:tr>
        <w:tc>
          <w:tcPr>
            <w:tcW w:type="dxa" w:w="3200"/>
            <w:shd w:fill="F2F6FB" w:val="clear"/>
            <w:tcMar>
              <w:top w:type="dxa" w:w="45"/>
              <w:left w:type="dxa" w:w="80"/>
              <w:bottom w:type="dxa" w:w="45"/>
              <w:right w:type="dxa" w:w="80"/>
            </w:tcMar>
          </w:tcPr>
          <w:p>
            <w:pPr>
              <w:jc w:val="left"/>
            </w:pPr>
            <w:r>
              <w:rPr>
                <w:b w:val="false"/>
                <w:bCs w:val="false"/>
                <w:color w:val="222222"/>
                <w:sz w:val="17"/>
                <w:szCs w:val="17"/>
              </w:rPr>
              <w:t xml:space="preserve">Actual: HFrEF</w:t>
            </w:r>
          </w:p>
        </w:tc>
        <w:tc>
          <w:tcPr>
            <w:tcW w:type="dxa" w:w="3200"/>
            <w:shd w:fill="F2F6FB" w:val="clear"/>
            <w:tcMar>
              <w:top w:type="dxa" w:w="45"/>
              <w:left w:type="dxa" w:w="80"/>
              <w:bottom w:type="dxa" w:w="45"/>
              <w:right w:type="dxa" w:w="80"/>
            </w:tcMar>
          </w:tcPr>
          <w:p>
            <w:pPr>
              <w:jc w:val="center"/>
            </w:pPr>
            <w:r>
              <w:rPr>
                <w:b w:val="false"/>
                <w:bCs w:val="false"/>
                <w:color w:val="222222"/>
                <w:sz w:val="17"/>
                <w:szCs w:val="17"/>
              </w:rPr>
              <w:t xml:space="preserve">152 (missed case)</w:t>
            </w:r>
          </w:p>
        </w:tc>
        <w:tc>
          <w:tcPr>
            <w:tcW w:type="dxa" w:w="3160"/>
            <w:shd w:fill="F2F6FB" w:val="clear"/>
            <w:tcMar>
              <w:top w:type="dxa" w:w="45"/>
              <w:left w:type="dxa" w:w="80"/>
              <w:bottom w:type="dxa" w:w="45"/>
              <w:right w:type="dxa" w:w="80"/>
            </w:tcMar>
          </w:tcPr>
          <w:p>
            <w:pPr>
              <w:jc w:val="center"/>
            </w:pPr>
            <w:r>
              <w:rPr>
                <w:b w:val="false"/>
                <w:bCs w:val="false"/>
                <w:color w:val="222222"/>
                <w:sz w:val="17"/>
                <w:szCs w:val="17"/>
              </w:rPr>
              <w:t xml:space="preserve">447 (correct)</w:t>
            </w:r>
          </w:p>
        </w:tc>
      </w:tr>
    </w:tbl>
    <w:p>
      <w:pPr>
        <w:spacing w:after="50"/>
      </w:pPr>
    </w:p>
    <w:p>
      <w:pPr>
        <w:spacing w:after="120" w:line="276"/>
      </w:pPr>
      <w:r>
        <w:t xml:space="preserve">Out of 4,827 patients: 3,385 healthy patients were correctly cleared, 447 true HFrEF patients were correctly caught, 843 healthy patients were incorrectly flagged (false alarms), and 152 true HFrEF patients were missed. This directly matches the reported sensitivity (447 ÷ 599 total true-positive cases = 74.6%) and specificity (3,385 ÷ 4,228 total true-negative cases = 80.1%).</w:t>
      </w:r>
    </w:p>
    <w:p>
      <w:pPr>
        <w:pStyle w:val="Heading2"/>
        <w:spacing w:after="100" w:before="220"/>
      </w:pPr>
      <w:r>
        <w:rPr>
          <w:b/>
          <w:bCs/>
          <w:color w:val="2E74B5"/>
        </w:rPr>
        <w:t xml:space="preserve">Validation AUROC Across Training Epochs</w:t>
      </w:r>
    </w:p>
    <w:p>
      <w:pPr>
        <w:spacing w:after="120" w:line="276"/>
      </w:pPr>
      <w:r>
        <w:t xml:space="preserve">This chart shows the model's performance on the validation set improving, with some natural up-and-down noise, across 17 training passes (epochs) over the data. The best-performing version — the one actually kept and evaluated on the test set — occurred at epoch 10, marked with the orange dot. This is the practical result of the early-stopping strategy described in Section 4: the model that generalised best to unseen validation patients was chosen, not simply whichever version came last.</w:t>
      </w:r>
    </w:p>
    <w:p>
      <w:pPr>
        <w:pStyle w:val="Heading2"/>
        <w:spacing w:after="100" w:before="220"/>
      </w:pPr>
      <w:r>
        <w:rPr>
          <w:b/>
          <w:bCs/>
          <w:color w:val="2E74B5"/>
        </w:rPr>
        <w:t xml:space="preserve">The Full Metrics Table</w:t>
      </w:r>
    </w:p>
    <w:p>
      <w:pPr>
        <w:spacing w:after="20"/>
      </w:pPr>
    </w:p>
    <w:tbl>
      <w:tblPr>
        <w:tblW w:type="dxa" w:w="9360"/>
        <w:tblBorders>
          <w:top w:val="single" w:color="AAB6C4" w:sz="2"/>
          <w:left w:val="none"/>
          <w:bottom w:val="single" w:color="AAB6C4" w:sz="2"/>
          <w:right w:val="none"/>
          <w:insideH w:val="single" w:color="D6DEE8" w:sz="1"/>
          <w:insideV w:val="single" w:color="D6DEE8" w:sz="1"/>
        </w:tblBorders>
      </w:tblPr>
      <w:tblGrid>
        <w:gridCol w:w="2400"/>
        <w:gridCol w:w="2200"/>
        <w:gridCol w:w="4760"/>
      </w:tblGrid>
      <w:tr>
        <w:trPr>
          <w:tblHeader/>
        </w:trPr>
        <w:tc>
          <w:tcPr>
            <w:tcW w:type="dxa" w:w="2400"/>
            <w:shd w:fill="1F4E79" w:val="clear"/>
            <w:tcMar>
              <w:top w:type="dxa" w:w="60"/>
              <w:left w:type="dxa" w:w="80"/>
              <w:bottom w:type="dxa" w:w="60"/>
              <w:right w:type="dxa" w:w="80"/>
            </w:tcMar>
          </w:tcPr>
          <w:p>
            <w:pPr>
              <w:jc w:val="left"/>
            </w:pPr>
            <w:r>
              <w:rPr>
                <w:b/>
                <w:bCs/>
                <w:color w:val="FFFFFF"/>
                <w:sz w:val="17"/>
                <w:szCs w:val="17"/>
              </w:rPr>
              <w:t xml:space="preserve">Metric</w:t>
            </w:r>
          </w:p>
        </w:tc>
        <w:tc>
          <w:tcPr>
            <w:tcW w:type="dxa" w:w="2200"/>
            <w:shd w:fill="1F4E79" w:val="clear"/>
            <w:tcMar>
              <w:top w:type="dxa" w:w="60"/>
              <w:left w:type="dxa" w:w="80"/>
              <w:bottom w:type="dxa" w:w="60"/>
              <w:right w:type="dxa" w:w="80"/>
            </w:tcMar>
          </w:tcPr>
          <w:p>
            <w:pPr>
              <w:jc w:val="center"/>
            </w:pPr>
            <w:r>
              <w:rPr>
                <w:b/>
                <w:bCs/>
                <w:color w:val="FFFFFF"/>
                <w:sz w:val="17"/>
                <w:szCs w:val="17"/>
              </w:rPr>
              <w:t xml:space="preserve">Value</w:t>
            </w:r>
          </w:p>
        </w:tc>
        <w:tc>
          <w:tcPr>
            <w:tcW w:type="dxa" w:w="4760"/>
            <w:shd w:fill="1F4E79" w:val="clear"/>
            <w:tcMar>
              <w:top w:type="dxa" w:w="60"/>
              <w:left w:type="dxa" w:w="80"/>
              <w:bottom w:type="dxa" w:w="60"/>
              <w:right w:type="dxa" w:w="80"/>
            </w:tcMar>
          </w:tcPr>
          <w:p>
            <w:pPr>
              <w:jc w:val="center"/>
            </w:pPr>
            <w:r>
              <w:rPr>
                <w:b/>
                <w:bCs/>
                <w:color w:val="FFFFFF"/>
                <w:sz w:val="17"/>
                <w:szCs w:val="17"/>
              </w:rPr>
              <w:t xml:space="preserve">What it means here</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AUROC</w:t>
            </w:r>
          </w:p>
        </w:tc>
        <w:tc>
          <w:tcPr>
            <w:tcW w:type="dxa" w:w="2200"/>
            <w:shd w:fill="FFFFFF" w:val="clear"/>
            <w:tcMar>
              <w:top w:type="dxa" w:w="45"/>
              <w:left w:type="dxa" w:w="80"/>
              <w:bottom w:type="dxa" w:w="45"/>
              <w:right w:type="dxa" w:w="80"/>
            </w:tcMar>
          </w:tcPr>
          <w:p>
            <w:pPr>
              <w:jc w:val="center"/>
            </w:pPr>
            <w:r>
              <w:rPr>
                <w:b w:val="false"/>
                <w:bCs w:val="false"/>
                <w:color w:val="222222"/>
                <w:sz w:val="17"/>
                <w:szCs w:val="17"/>
              </w:rPr>
              <w:t xml:space="preserve">0.8571</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Strong overall discrimination between HFrEF and non-HFrEF patients</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95% CI</w:t>
            </w:r>
          </w:p>
        </w:tc>
        <w:tc>
          <w:tcPr>
            <w:tcW w:type="dxa" w:w="2200"/>
            <w:shd w:fill="F2F6FB" w:val="clear"/>
            <w:tcMar>
              <w:top w:type="dxa" w:w="45"/>
              <w:left w:type="dxa" w:w="80"/>
              <w:bottom w:type="dxa" w:w="45"/>
              <w:right w:type="dxa" w:w="80"/>
            </w:tcMar>
          </w:tcPr>
          <w:p>
            <w:pPr>
              <w:jc w:val="center"/>
            </w:pPr>
            <w:r>
              <w:rPr>
                <w:b w:val="false"/>
                <w:bCs w:val="false"/>
                <w:color w:val="222222"/>
                <w:sz w:val="17"/>
                <w:szCs w:val="17"/>
              </w:rPr>
              <w:t xml:space="preserve">[0.8419, 0.8713]</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A tight, stable range — the result is not a lucky fluke</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F1 Score</w:t>
            </w:r>
          </w:p>
        </w:tc>
        <w:tc>
          <w:tcPr>
            <w:tcW w:type="dxa" w:w="2200"/>
            <w:shd w:fill="FFFFFF" w:val="clear"/>
            <w:tcMar>
              <w:top w:type="dxa" w:w="45"/>
              <w:left w:type="dxa" w:w="80"/>
              <w:bottom w:type="dxa" w:w="45"/>
              <w:right w:type="dxa" w:w="80"/>
            </w:tcMar>
          </w:tcPr>
          <w:p>
            <w:pPr>
              <w:jc w:val="center"/>
            </w:pPr>
            <w:r>
              <w:rPr>
                <w:b w:val="false"/>
                <w:bCs w:val="false"/>
                <w:color w:val="222222"/>
                <w:sz w:val="17"/>
                <w:szCs w:val="17"/>
              </w:rPr>
              <w:t xml:space="preserve">0.4733</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A balanced precision/recall summary at a single decision point</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Recall (Sensitivity)</w:t>
            </w:r>
          </w:p>
        </w:tc>
        <w:tc>
          <w:tcPr>
            <w:tcW w:type="dxa" w:w="2200"/>
            <w:shd w:fill="F2F6FB" w:val="clear"/>
            <w:tcMar>
              <w:top w:type="dxa" w:w="45"/>
              <w:left w:type="dxa" w:w="80"/>
              <w:bottom w:type="dxa" w:w="45"/>
              <w:right w:type="dxa" w:w="80"/>
            </w:tcMar>
          </w:tcPr>
          <w:p>
            <w:pPr>
              <w:jc w:val="center"/>
            </w:pPr>
            <w:r>
              <w:rPr>
                <w:b w:val="false"/>
                <w:bCs w:val="false"/>
                <w:color w:val="222222"/>
                <w:sz w:val="17"/>
                <w:szCs w:val="17"/>
              </w:rPr>
              <w:t xml:space="preserve">0.7462</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About 3 in 4 true HFrEF patients are correctly caught</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Specificity</w:t>
            </w:r>
          </w:p>
        </w:tc>
        <w:tc>
          <w:tcPr>
            <w:tcW w:type="dxa" w:w="2200"/>
            <w:shd w:fill="FFFFFF" w:val="clear"/>
            <w:tcMar>
              <w:top w:type="dxa" w:w="45"/>
              <w:left w:type="dxa" w:w="80"/>
              <w:bottom w:type="dxa" w:w="45"/>
              <w:right w:type="dxa" w:w="80"/>
            </w:tcMar>
          </w:tcPr>
          <w:p>
            <w:pPr>
              <w:jc w:val="center"/>
            </w:pPr>
            <w:r>
              <w:rPr>
                <w:b w:val="false"/>
                <w:bCs w:val="false"/>
                <w:color w:val="222222"/>
                <w:sz w:val="17"/>
                <w:szCs w:val="17"/>
              </w:rPr>
              <w:t xml:space="preserve">0.8006</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About 4 in 5 true non-HFrEF patients are correctly cleared</w:t>
            </w:r>
          </w:p>
        </w:tc>
      </w:tr>
      <w:tr>
        <w:tc>
          <w:tcPr>
            <w:tcW w:type="dxa" w:w="2400"/>
            <w:shd w:fill="F2F6FB" w:val="clear"/>
            <w:tcMar>
              <w:top w:type="dxa" w:w="45"/>
              <w:left w:type="dxa" w:w="80"/>
              <w:bottom w:type="dxa" w:w="45"/>
              <w:right w:type="dxa" w:w="80"/>
            </w:tcMar>
          </w:tcPr>
          <w:p>
            <w:pPr>
              <w:jc w:val="left"/>
            </w:pPr>
            <w:r>
              <w:rPr>
                <w:b w:val="false"/>
                <w:bCs w:val="false"/>
                <w:color w:val="222222"/>
                <w:sz w:val="17"/>
                <w:szCs w:val="17"/>
              </w:rPr>
              <w:t xml:space="preserve">Balanced Accuracy</w:t>
            </w:r>
          </w:p>
        </w:tc>
        <w:tc>
          <w:tcPr>
            <w:tcW w:type="dxa" w:w="2200"/>
            <w:shd w:fill="F2F6FB" w:val="clear"/>
            <w:tcMar>
              <w:top w:type="dxa" w:w="45"/>
              <w:left w:type="dxa" w:w="80"/>
              <w:bottom w:type="dxa" w:w="45"/>
              <w:right w:type="dxa" w:w="80"/>
            </w:tcMar>
          </w:tcPr>
          <w:p>
            <w:pPr>
              <w:jc w:val="center"/>
            </w:pPr>
            <w:r>
              <w:rPr>
                <w:b w:val="false"/>
                <w:bCs w:val="false"/>
                <w:color w:val="222222"/>
                <w:sz w:val="17"/>
                <w:szCs w:val="17"/>
              </w:rPr>
              <w:t xml:space="preserve">0.7734</w:t>
            </w:r>
          </w:p>
        </w:tc>
        <w:tc>
          <w:tcPr>
            <w:tcW w:type="dxa" w:w="4760"/>
            <w:shd w:fill="F2F6FB" w:val="clear"/>
            <w:tcMar>
              <w:top w:type="dxa" w:w="45"/>
              <w:left w:type="dxa" w:w="80"/>
              <w:bottom w:type="dxa" w:w="45"/>
              <w:right w:type="dxa" w:w="80"/>
            </w:tcMar>
          </w:tcPr>
          <w:p>
            <w:pPr>
              <w:jc w:val="center"/>
            </w:pPr>
            <w:r>
              <w:rPr>
                <w:b w:val="false"/>
                <w:bCs w:val="false"/>
                <w:color w:val="222222"/>
                <w:sz w:val="17"/>
                <w:szCs w:val="17"/>
              </w:rPr>
              <w:t xml:space="preserve">The fair, imbalance-corrected average of the two above</w:t>
            </w:r>
          </w:p>
        </w:tc>
      </w:tr>
      <w:tr>
        <w:tc>
          <w:tcPr>
            <w:tcW w:type="dxa" w:w="2400"/>
            <w:shd w:fill="FFFFFF" w:val="clear"/>
            <w:tcMar>
              <w:top w:type="dxa" w:w="45"/>
              <w:left w:type="dxa" w:w="80"/>
              <w:bottom w:type="dxa" w:w="45"/>
              <w:right w:type="dxa" w:w="80"/>
            </w:tcMar>
          </w:tcPr>
          <w:p>
            <w:pPr>
              <w:jc w:val="left"/>
            </w:pPr>
            <w:r>
              <w:rPr>
                <w:b w:val="false"/>
                <w:bCs w:val="false"/>
                <w:color w:val="222222"/>
                <w:sz w:val="17"/>
                <w:szCs w:val="17"/>
              </w:rPr>
              <w:t xml:space="preserve">Brier Score</w:t>
            </w:r>
          </w:p>
        </w:tc>
        <w:tc>
          <w:tcPr>
            <w:tcW w:type="dxa" w:w="2200"/>
            <w:shd w:fill="FFFFFF" w:val="clear"/>
            <w:tcMar>
              <w:top w:type="dxa" w:w="45"/>
              <w:left w:type="dxa" w:w="80"/>
              <w:bottom w:type="dxa" w:w="45"/>
              <w:right w:type="dxa" w:w="80"/>
            </w:tcMar>
          </w:tcPr>
          <w:p>
            <w:pPr>
              <w:jc w:val="center"/>
            </w:pPr>
            <w:r>
              <w:rPr>
                <w:b w:val="false"/>
                <w:bCs w:val="false"/>
                <w:color w:val="222222"/>
                <w:sz w:val="17"/>
                <w:szCs w:val="17"/>
              </w:rPr>
              <w:t xml:space="preserve">0.1376</w:t>
            </w:r>
          </w:p>
        </w:tc>
        <w:tc>
          <w:tcPr>
            <w:tcW w:type="dxa" w:w="4760"/>
            <w:shd w:fill="FFFFFF" w:val="clear"/>
            <w:tcMar>
              <w:top w:type="dxa" w:w="45"/>
              <w:left w:type="dxa" w:w="80"/>
              <w:bottom w:type="dxa" w:w="45"/>
              <w:right w:type="dxa" w:w="80"/>
            </w:tcMar>
          </w:tcPr>
          <w:p>
            <w:pPr>
              <w:jc w:val="center"/>
            </w:pPr>
            <w:r>
              <w:rPr>
                <w:b w:val="false"/>
                <w:bCs w:val="false"/>
                <w:color w:val="222222"/>
                <w:sz w:val="17"/>
                <w:szCs w:val="17"/>
              </w:rPr>
              <w:t xml:space="preserve">A reasonably well-calibrated set of probability outputs</w:t>
            </w:r>
          </w:p>
        </w:tc>
      </w:tr>
    </w:tbl>
    <w:p>
      <w:pPr>
        <w:pBdr>
          <w:top w:val="single" w:color="1F4E79" w:sz="14"/>
        </w:pBdr>
        <w:spacing w:after="40" w:before="300"/>
      </w:pPr>
      <w:r>
        <w:rPr>
          <w:b/>
          <w:bCs/>
          <w:color w:val="1F4E79"/>
        </w:rPr>
        <w:t xml:space="preserve">In one line: </w:t>
      </w:r>
      <w:r>
        <w:rPr>
          <w:i/>
          <w:iCs/>
        </w:rPr>
        <w:t xml:space="preserve">this project built a compact, from-scratch, three-branch model that detects HFrEF from the single ECG lead a real wearable chip can measure, combining a CNN-Transformer, standard clinical statistics, and a novel mathematical waveform-shape method, reaching a stable AUROC of 0.857 on 4,827 held-out patients.</w:t>
      </w:r>
    </w:p>
    <w:sectPr>
      <w:pgSz w:w="12240" w:h="15840" w:orient="portrait"/>
      <w:pgMar w:top="1080" w:right="1400" w:bottom="108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2026-07-21T19:17:33.554Z</dcterms:created>
  <dcterms:modified xsi:type="dcterms:W3CDTF">2026-07-21T19:17:33.573Z</dcterms:modified>
</cp:coreProperties>
</file>

<file path=docProps/custom.xml><?xml version="1.0" encoding="utf-8"?>
<Properties xmlns="http://schemas.openxmlformats.org/officeDocument/2006/custom-properties" xmlns:vt="http://schemas.openxmlformats.org/officeDocument/2006/docPropsVTypes"/>
</file>