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E99C" w14:textId="77777777" w:rsidR="00951D33" w:rsidRPr="006B6E45" w:rsidRDefault="00000000" w:rsidP="006B6E45">
      <w:pPr>
        <w:spacing w:before="157" w:after="157" w:line="270" w:lineRule="auto"/>
        <w:jc w:val="center"/>
        <w:rPr>
          <w:rFonts w:ascii="Times New Roman" w:hAnsi="Times New Roman" w:cs="Times New Roman"/>
        </w:rPr>
      </w:pPr>
      <w:bookmarkStart w:id="0" w:name="india_macroeconomic_dashboard_excel"/>
      <w:r w:rsidRPr="006B6E45">
        <w:rPr>
          <w:rFonts w:ascii="Times New Roman" w:eastAsia="Georgia" w:hAnsi="Times New Roman" w:cs="Times New Roman"/>
          <w:b/>
          <w:color w:val="000000"/>
          <w:sz w:val="39"/>
        </w:rPr>
        <w:t>India Macroeconomic Dashboard (Excel)</w:t>
      </w:r>
      <w:bookmarkEnd w:id="0"/>
    </w:p>
    <w:p w14:paraId="1B02C54A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" w:name="bm_1_overview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1. Overview</w:t>
      </w:r>
      <w:bookmarkEnd w:id="1"/>
    </w:p>
    <w:p w14:paraId="54576386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This project is an Excel-based macroeconomic dashboard that tracks key indicators of the Indian economy over FY2015-16 to FY2024-25. It consolidates data from multiple official sources into a single workbook and presents it through KPI cards and charts designed for quick policy-oriented analysis.</w:t>
      </w:r>
    </w:p>
    <w:p w14:paraId="3791FBFF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Key indicators covered:</w:t>
      </w:r>
    </w:p>
    <w:p w14:paraId="767D4A30" w14:textId="77777777" w:rsidR="00951D33" w:rsidRPr="006B6E45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GDP at current and constant prices, with sectoral shares (Agriculture, Industry, Services)</w:t>
      </w:r>
    </w:p>
    <w:p w14:paraId="3F940A80" w14:textId="77777777" w:rsidR="00951D33" w:rsidRPr="006B6E45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CPI and WPI inflation (annual averages)</w:t>
      </w:r>
    </w:p>
    <w:p w14:paraId="2D639C1B" w14:textId="77777777" w:rsidR="00951D33" w:rsidRPr="006B6E45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Unemployment (overall, rural, urban)</w:t>
      </w:r>
    </w:p>
    <w:p w14:paraId="616875D9" w14:textId="77777777" w:rsidR="00951D33" w:rsidRPr="006B6E45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Foreign Direct Investment (FDI) inflows</w:t>
      </w:r>
    </w:p>
    <w:p w14:paraId="7F7DEEF4" w14:textId="77777777" w:rsidR="00951D33" w:rsidRPr="006B6E45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Merchandise and services trade balance</w:t>
      </w:r>
    </w:p>
    <w:p w14:paraId="7B3B88C3" w14:textId="24EA86D7" w:rsidR="00951D33" w:rsidRPr="006B6E45" w:rsidRDefault="00000000" w:rsidP="006B6E4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Per capita Net National Income (NNI) at current prices</w:t>
      </w:r>
    </w:p>
    <w:p w14:paraId="35FAA311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" w:name="bm_2_data_source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2. Data Sources</w:t>
      </w:r>
      <w:bookmarkEnd w:id="2"/>
    </w:p>
    <w:p w14:paraId="6B4E9153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All data is taken from official or widely-cited government sources.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405"/>
        <w:gridCol w:w="2967"/>
        <w:gridCol w:w="1356"/>
        <w:gridCol w:w="3190"/>
      </w:tblGrid>
      <w:tr w:rsidR="00951D33" w:rsidRPr="006B6E45" w14:paraId="15721CC9" w14:textId="77777777" w:rsidTr="006B6E45">
        <w:tc>
          <w:tcPr>
            <w:tcW w:w="2405" w:type="dxa"/>
          </w:tcPr>
          <w:p w14:paraId="402A084D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B6E45">
              <w:rPr>
                <w:rFonts w:ascii="Times New Roman" w:eastAsia="helvetica neue" w:hAnsi="Times New Roman" w:cs="Times New Roman"/>
                <w:b/>
                <w:bCs/>
                <w:color w:val="000000"/>
                <w:sz w:val="17"/>
              </w:rPr>
              <w:t>Indicator</w:t>
            </w:r>
          </w:p>
        </w:tc>
        <w:tc>
          <w:tcPr>
            <w:tcW w:w="2967" w:type="dxa"/>
          </w:tcPr>
          <w:p w14:paraId="278D4239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B6E45">
              <w:rPr>
                <w:rFonts w:ascii="Times New Roman" w:eastAsia="helvetica neue" w:hAnsi="Times New Roman" w:cs="Times New Roman"/>
                <w:b/>
                <w:bCs/>
                <w:color w:val="000000"/>
                <w:sz w:val="17"/>
              </w:rPr>
              <w:t>Source</w:t>
            </w:r>
          </w:p>
        </w:tc>
        <w:tc>
          <w:tcPr>
            <w:tcW w:w="0" w:type="auto"/>
          </w:tcPr>
          <w:p w14:paraId="71324CC9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B6E45">
              <w:rPr>
                <w:rFonts w:ascii="Times New Roman" w:eastAsia="helvetica neue" w:hAnsi="Times New Roman" w:cs="Times New Roman"/>
                <w:b/>
                <w:bCs/>
                <w:color w:val="000000"/>
                <w:sz w:val="17"/>
              </w:rPr>
              <w:t>Coverage</w:t>
            </w:r>
          </w:p>
        </w:tc>
        <w:tc>
          <w:tcPr>
            <w:tcW w:w="3190" w:type="dxa"/>
          </w:tcPr>
          <w:p w14:paraId="31B8B12F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B6E45">
              <w:rPr>
                <w:rFonts w:ascii="Times New Roman" w:eastAsia="helvetica neue" w:hAnsi="Times New Roman" w:cs="Times New Roman"/>
                <w:b/>
                <w:bCs/>
                <w:color w:val="000000"/>
                <w:sz w:val="17"/>
              </w:rPr>
              <w:t>Notes</w:t>
            </w:r>
          </w:p>
        </w:tc>
      </w:tr>
      <w:tr w:rsidR="00951D33" w:rsidRPr="006B6E45" w14:paraId="2B224F19" w14:textId="77777777" w:rsidTr="006B6E45">
        <w:tc>
          <w:tcPr>
            <w:tcW w:w="2405" w:type="dxa"/>
          </w:tcPr>
          <w:p w14:paraId="55C71426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GDP (current &amp; constant), sectoral shares, real growth</w:t>
            </w:r>
          </w:p>
        </w:tc>
        <w:tc>
          <w:tcPr>
            <w:tcW w:w="2967" w:type="dxa"/>
          </w:tcPr>
          <w:p w14:paraId="515CDA6F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MOSPI National Accounts Division</w:t>
            </w:r>
          </w:p>
        </w:tc>
        <w:tc>
          <w:tcPr>
            <w:tcW w:w="0" w:type="auto"/>
          </w:tcPr>
          <w:p w14:paraId="7234ABFD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FY2014-15 – FY2025-26</w:t>
            </w:r>
          </w:p>
        </w:tc>
        <w:tc>
          <w:tcPr>
            <w:tcW w:w="3190" w:type="dxa"/>
          </w:tcPr>
          <w:p w14:paraId="69B6F6AE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2025-26 based on Second Advance Estimates with base year 2022-23</w:t>
            </w:r>
          </w:p>
        </w:tc>
      </w:tr>
      <w:tr w:rsidR="00951D33" w:rsidRPr="006B6E45" w14:paraId="10A118FE" w14:textId="77777777" w:rsidTr="006B6E45">
        <w:tc>
          <w:tcPr>
            <w:tcW w:w="2405" w:type="dxa"/>
          </w:tcPr>
          <w:p w14:paraId="5E413C69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CPI &amp; WPI inflation</w:t>
            </w:r>
          </w:p>
        </w:tc>
        <w:tc>
          <w:tcPr>
            <w:tcW w:w="2967" w:type="dxa"/>
          </w:tcPr>
          <w:p w14:paraId="07B7692E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MOSPI CPI releases, RBI DBIE “Prices &amp; Wages”, Economic Survey</w:t>
            </w:r>
          </w:p>
        </w:tc>
        <w:tc>
          <w:tcPr>
            <w:tcW w:w="0" w:type="auto"/>
          </w:tcPr>
          <w:p w14:paraId="224AC5CE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FY2014-15 – FY2024-25</w:t>
            </w:r>
          </w:p>
        </w:tc>
        <w:tc>
          <w:tcPr>
            <w:tcW w:w="3190" w:type="dxa"/>
          </w:tcPr>
          <w:p w14:paraId="29933D3D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Annual averages based on monthly index data</w:t>
            </w:r>
          </w:p>
        </w:tc>
      </w:tr>
      <w:tr w:rsidR="00951D33" w:rsidRPr="006B6E45" w14:paraId="3A7E3080" w14:textId="77777777" w:rsidTr="006B6E45">
        <w:tc>
          <w:tcPr>
            <w:tcW w:w="2405" w:type="dxa"/>
          </w:tcPr>
          <w:p w14:paraId="0F4874DC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Unemployment (overall, rural, urban)</w:t>
            </w:r>
          </w:p>
        </w:tc>
        <w:tc>
          <w:tcPr>
            <w:tcW w:w="2967" w:type="dxa"/>
          </w:tcPr>
          <w:p w14:paraId="69B7D251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Labour</w:t>
            </w:r>
            <w:proofErr w:type="spellEnd"/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 xml:space="preserve"> Bureau EUS (pre-2017), PLFS Annual Reports &amp; bulletins</w:t>
            </w:r>
          </w:p>
        </w:tc>
        <w:tc>
          <w:tcPr>
            <w:tcW w:w="0" w:type="auto"/>
          </w:tcPr>
          <w:p w14:paraId="4C0C68AF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FY2013-14 – FY2024-25</w:t>
            </w:r>
          </w:p>
        </w:tc>
        <w:tc>
          <w:tcPr>
            <w:tcW w:w="3190" w:type="dxa"/>
          </w:tcPr>
          <w:p w14:paraId="1318D3B3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Usual Principal &amp; Subsidiary Status (UPSS); methodology change in 2017-18</w:t>
            </w:r>
          </w:p>
        </w:tc>
      </w:tr>
      <w:tr w:rsidR="00951D33" w:rsidRPr="006B6E45" w14:paraId="2C3F45B1" w14:textId="77777777" w:rsidTr="006B6E45">
        <w:tc>
          <w:tcPr>
            <w:tcW w:w="2405" w:type="dxa"/>
          </w:tcPr>
          <w:p w14:paraId="16177A5D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FDI inflows (total, equity)</w:t>
            </w:r>
          </w:p>
        </w:tc>
        <w:tc>
          <w:tcPr>
            <w:tcW w:w="2967" w:type="dxa"/>
          </w:tcPr>
          <w:p w14:paraId="1DBE0FCA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DPIIT FDI statistics, PIB press releases, RBI</w:t>
            </w:r>
          </w:p>
        </w:tc>
        <w:tc>
          <w:tcPr>
            <w:tcW w:w="0" w:type="auto"/>
          </w:tcPr>
          <w:p w14:paraId="1F706F3C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FY2013-14 – FY2024-25</w:t>
            </w:r>
          </w:p>
        </w:tc>
        <w:tc>
          <w:tcPr>
            <w:tcW w:w="3190" w:type="dxa"/>
          </w:tcPr>
          <w:p w14:paraId="376802C6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Total inflows and equity-only series in USD billion</w:t>
            </w:r>
          </w:p>
        </w:tc>
      </w:tr>
      <w:tr w:rsidR="00951D33" w:rsidRPr="006B6E45" w14:paraId="7B335024" w14:textId="77777777" w:rsidTr="006B6E45">
        <w:tc>
          <w:tcPr>
            <w:tcW w:w="2405" w:type="dxa"/>
          </w:tcPr>
          <w:p w14:paraId="12615006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Trade (exports, imports, balances)</w:t>
            </w:r>
          </w:p>
        </w:tc>
        <w:tc>
          <w:tcPr>
            <w:tcW w:w="2967" w:type="dxa"/>
          </w:tcPr>
          <w:p w14:paraId="3A47BCEA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RBI Balance of Payments, Ministry of Commerce, Exim Bank</w:t>
            </w:r>
          </w:p>
        </w:tc>
        <w:tc>
          <w:tcPr>
            <w:tcW w:w="0" w:type="auto"/>
          </w:tcPr>
          <w:p w14:paraId="6D272277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FY2015-16 – FY2024-25</w:t>
            </w:r>
          </w:p>
        </w:tc>
        <w:tc>
          <w:tcPr>
            <w:tcW w:w="3190" w:type="dxa"/>
          </w:tcPr>
          <w:p w14:paraId="116217AF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Merchandise and services trade; trade balances in USD billion</w:t>
            </w:r>
          </w:p>
        </w:tc>
      </w:tr>
      <w:tr w:rsidR="00951D33" w:rsidRPr="006B6E45" w14:paraId="5A9B591A" w14:textId="77777777" w:rsidTr="006B6E45">
        <w:tc>
          <w:tcPr>
            <w:tcW w:w="2405" w:type="dxa"/>
          </w:tcPr>
          <w:p w14:paraId="7A965E6D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Per Capita NNI</w:t>
            </w:r>
          </w:p>
        </w:tc>
        <w:tc>
          <w:tcPr>
            <w:tcW w:w="2967" w:type="dxa"/>
          </w:tcPr>
          <w:p w14:paraId="75B1646B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MOSPI National Accounts Statistics, PIB releases</w:t>
            </w:r>
          </w:p>
        </w:tc>
        <w:tc>
          <w:tcPr>
            <w:tcW w:w="0" w:type="auto"/>
          </w:tcPr>
          <w:p w14:paraId="31666192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FY2015-16 – FY2024-25</w:t>
            </w:r>
          </w:p>
        </w:tc>
        <w:tc>
          <w:tcPr>
            <w:tcW w:w="3190" w:type="dxa"/>
          </w:tcPr>
          <w:p w14:paraId="3FB9EBE4" w14:textId="77777777" w:rsidR="00951D33" w:rsidRPr="006B6E45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B6E45">
              <w:rPr>
                <w:rFonts w:ascii="Times New Roman" w:eastAsia="helvetica neue" w:hAnsi="Times New Roman" w:cs="Times New Roman"/>
                <w:color w:val="000000"/>
                <w:sz w:val="17"/>
              </w:rPr>
              <w:t>At current prices (nominal, not inflation-adjusted)</w:t>
            </w:r>
          </w:p>
        </w:tc>
      </w:tr>
    </w:tbl>
    <w:p w14:paraId="14B61B08" w14:textId="77777777" w:rsidR="00951D33" w:rsidRPr="006B6E45" w:rsidRDefault="00951D33">
      <w:pPr>
        <w:rPr>
          <w:rFonts w:ascii="Times New Roman" w:hAnsi="Times New Roman" w:cs="Times New Roman"/>
        </w:rPr>
      </w:pPr>
    </w:p>
    <w:p w14:paraId="59FC9959" w14:textId="41B4C249" w:rsidR="00951D33" w:rsidRPr="006B6E45" w:rsidRDefault="00000000" w:rsidP="006B6E45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For consistency across indicators, the dashboard focuses on FY2015-16 to FY2024-25 where complete data is available.</w:t>
      </w:r>
    </w:p>
    <w:p w14:paraId="4A93DB46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" w:name="bm_3_workbook_structure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3. Workbook Structure</w:t>
      </w:r>
      <w:bookmarkEnd w:id="3"/>
    </w:p>
    <w:p w14:paraId="254FF482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The main Excel file is structured as follows:</w:t>
      </w:r>
    </w:p>
    <w:p w14:paraId="0763DE2C" w14:textId="77777777" w:rsidR="00951D33" w:rsidRPr="006B6E45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India_Macro_Dashboard_Master.xlsx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├──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Raw_GDP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      # GDP levels, sector shares, real growth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├──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Raw_Inflation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# CPI &amp; WPI averages and inflation rates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lastRenderedPageBreak/>
        <w:t xml:space="preserve">├──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Raw_Unemployment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# Overall, rural, urban unemployment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├──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Raw_FDI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      # Total and equity FDI inflows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├──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Raw_Trade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    # Merchandise &amp; services exports/imports, balances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├──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Raw_PerCapita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# Per capita NNI and growth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 xml:space="preserve">├──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Master_Data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      # Consolidated panel of all indicators by year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├── Calculations      # Derived metrics (moving averages, correlations, etc.)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  <w:t>└── Dashboard         # KPI cards and charts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br/>
      </w:r>
    </w:p>
    <w:p w14:paraId="1D4EE147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" w:name="bm_3_1_raw_sheet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3.1 Raw sheets</w:t>
      </w:r>
      <w:bookmarkEnd w:id="4"/>
    </w:p>
    <w:p w14:paraId="76252978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Each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Raw_</w:t>
      </w:r>
      <w:r w:rsidRPr="006B6E45">
        <w:rPr>
          <w:rFonts w:ascii="Times New Roman" w:eastAsia="Georgia" w:hAnsi="Times New Roman" w:cs="Times New Roman"/>
          <w:color w:val="000000"/>
        </w:rPr>
        <w:t xml:space="preserve"> sheet contains the cleaned version of one dataset:</w:t>
      </w:r>
    </w:p>
    <w:p w14:paraId="0AB4E825" w14:textId="77777777" w:rsidR="00951D33" w:rsidRPr="006B6E45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Header row with clear variable names.</w:t>
      </w:r>
    </w:p>
    <w:p w14:paraId="593A772E" w14:textId="77777777" w:rsidR="00951D33" w:rsidRPr="006B6E45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One row per financial year.</w:t>
      </w:r>
    </w:p>
    <w:p w14:paraId="32FB1234" w14:textId="77777777" w:rsidR="00951D33" w:rsidRPr="006B6E45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Numeric columns stored as numbers (not text), with currency symbols and thousand separators removed before use.</w:t>
      </w:r>
    </w:p>
    <w:p w14:paraId="64F61D58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" w:name="bm_3_2_master_data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 xml:space="preserve">3.2 </w:t>
      </w:r>
      <w:proofErr w:type="spellStart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Master_Data</w:t>
      </w:r>
      <w:bookmarkEnd w:id="5"/>
      <w:proofErr w:type="spellEnd"/>
    </w:p>
    <w:p w14:paraId="50D0AB9C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Master_Data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 aligns all indicators by year into a single table.</w:t>
      </w:r>
    </w:p>
    <w:p w14:paraId="70545610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Example columns:</w:t>
      </w:r>
    </w:p>
    <w:p w14:paraId="6E768E35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Year</w:t>
      </w:r>
    </w:p>
    <w:p w14:paraId="553A84C2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GDP_Current_LakhCr</w:t>
      </w:r>
      <w:proofErr w:type="spellEnd"/>
    </w:p>
    <w:p w14:paraId="4103E9E8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GDP_Constant_LakhCr</w:t>
      </w:r>
      <w:proofErr w:type="spellEnd"/>
    </w:p>
    <w:p w14:paraId="4E31448B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Agriculture_Share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Industry_Share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Services_Share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</w:p>
    <w:p w14:paraId="531F6B7A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Real_GDP_Growth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</w:p>
    <w:p w14:paraId="776AFF22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CPI_Inflation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WPI_Inflation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</w:p>
    <w:p w14:paraId="5ECAB70E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Unemployment_Overall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Unemployment_Rural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Unemployment_Urban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</w:p>
    <w:p w14:paraId="21DD9018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FDI_Total_USD_Bn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FDI_Equity_USD_Bn</w:t>
      </w:r>
      <w:proofErr w:type="spellEnd"/>
    </w:p>
    <w:p w14:paraId="4BEDB3CC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Merch_Exports_USD_Bn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Merch_Imports_USD_Bn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Merch_Trade_Balance_USD_Bn</w:t>
      </w:r>
      <w:proofErr w:type="spellEnd"/>
    </w:p>
    <w:p w14:paraId="79177318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Services_Exports_USD_Bn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Services_Imports_USD_Bn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Overall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_Trade_Balance_USD_Bn</w:t>
      </w:r>
      <w:proofErr w:type="spellEnd"/>
    </w:p>
    <w:p w14:paraId="13A765B2" w14:textId="77777777" w:rsidR="00951D33" w:rsidRPr="006B6E45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PerCapita_NNI_Rs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PerCapita_Growth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</w:p>
    <w:p w14:paraId="2E51F2C1" w14:textId="2A928A01" w:rsidR="00951D33" w:rsidRPr="006B6E45" w:rsidRDefault="00000000" w:rsidP="006B6E45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Data is pulled from the raw sheets using lookup formulas (VLOOKUP or INDEX-MATCH).</w:t>
      </w:r>
    </w:p>
    <w:p w14:paraId="18DA9AD3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" w:name="bm_4_data_cleaning_and_integration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4. Data Cleaning and Integration</w:t>
      </w:r>
      <w:bookmarkEnd w:id="6"/>
    </w:p>
    <w:p w14:paraId="157259C9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" w:name="bm_4_1_converting_text_to_number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4.1 Converting text to numbers</w:t>
      </w:r>
      <w:bookmarkEnd w:id="7"/>
    </w:p>
    <w:p w14:paraId="5EEB3249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lastRenderedPageBreak/>
        <w:t>Some source tables include commas or currency symbols. These are removed using formulas such as:</w:t>
      </w:r>
    </w:p>
    <w:p w14:paraId="7FF4F22F" w14:textId="41C4BBE6" w:rsidR="00951D33" w:rsidRPr="006B6E45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=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VALUE(SUBSTITUTE(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A2, ",", ""))</w:t>
      </w:r>
    </w:p>
    <w:p w14:paraId="72FBE2D7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This converts values like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"2,09,179"</w:t>
      </w:r>
      <w:r w:rsidRPr="006B6E45">
        <w:rPr>
          <w:rFonts w:ascii="Times New Roman" w:eastAsia="Georgia" w:hAnsi="Times New Roman" w:cs="Times New Roman"/>
          <w:color w:val="000000"/>
        </w:rPr>
        <w:t xml:space="preserve"> to numeric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209179</w:t>
      </w:r>
      <w:r w:rsidRPr="006B6E45">
        <w:rPr>
          <w:rFonts w:ascii="Times New Roman" w:eastAsia="Georgia" w:hAnsi="Times New Roman" w:cs="Times New Roman"/>
          <w:color w:val="000000"/>
        </w:rPr>
        <w:t>.</w:t>
      </w:r>
    </w:p>
    <w:p w14:paraId="443A565B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8" w:name="bm_4_2_vlookup_for_consolidation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4.2 VLOOKUP for consolidation</w:t>
      </w:r>
      <w:bookmarkEnd w:id="8"/>
    </w:p>
    <w:p w14:paraId="0D0FAB77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Master_Data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 uses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VLOOKUP</w:t>
      </w:r>
      <w:r w:rsidRPr="006B6E45">
        <w:rPr>
          <w:rFonts w:ascii="Times New Roman" w:eastAsia="Georgia" w:hAnsi="Times New Roman" w:cs="Times New Roman"/>
          <w:color w:val="000000"/>
        </w:rPr>
        <w:t xml:space="preserve"> to bring data together by year. For example:</w:t>
      </w:r>
    </w:p>
    <w:p w14:paraId="2D31B5DE" w14:textId="4E8E3CF1" w:rsidR="00951D33" w:rsidRPr="006B6E45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=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VLOOKUP(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$A2,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Raw_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GDP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!$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A$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2:$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G$13, 2, FALSE)</w:t>
      </w:r>
    </w:p>
    <w:p w14:paraId="671AE3FB" w14:textId="77777777" w:rsidR="00951D33" w:rsidRPr="006B6E45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Looks up the year in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Raw_GDP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>.</w:t>
      </w:r>
    </w:p>
    <w:p w14:paraId="0DA90853" w14:textId="77777777" w:rsidR="00951D33" w:rsidRPr="006B6E45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Returns the second column (GDP at current prices).</w:t>
      </w:r>
    </w:p>
    <w:p w14:paraId="28B12076" w14:textId="77777777" w:rsidR="00951D33" w:rsidRPr="006B6E45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FALSE</w:t>
      </w:r>
      <w:r w:rsidRPr="006B6E45">
        <w:rPr>
          <w:rFonts w:ascii="Times New Roman" w:eastAsia="Georgia" w:hAnsi="Times New Roman" w:cs="Times New Roman"/>
          <w:color w:val="000000"/>
        </w:rPr>
        <w:t xml:space="preserve"> enforces exact matching on year labels.</w:t>
      </w:r>
    </w:p>
    <w:p w14:paraId="2E370D35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Similar formulas are used for all indicators.</w:t>
      </w:r>
    </w:p>
    <w:p w14:paraId="110288E4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9" w:name="bm_4_3_handling_methodology_change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4.3 Handling methodology changes</w:t>
      </w:r>
      <w:bookmarkEnd w:id="9"/>
    </w:p>
    <w:p w14:paraId="294A561E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Two important breaks are documented:</w:t>
      </w:r>
    </w:p>
    <w:p w14:paraId="23D674B9" w14:textId="77777777" w:rsidR="00951D33" w:rsidRPr="006B6E45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Unemployment:</w:t>
      </w:r>
      <w:r w:rsidRPr="006B6E45">
        <w:rPr>
          <w:rFonts w:ascii="Times New Roman" w:eastAsia="Georgia" w:hAnsi="Times New Roman" w:cs="Times New Roman"/>
          <w:color w:val="000000"/>
        </w:rPr>
        <w:t xml:space="preserve"> </w:t>
      </w:r>
      <w:proofErr w:type="spellStart"/>
      <w:r w:rsidRPr="006B6E45">
        <w:rPr>
          <w:rFonts w:ascii="Times New Roman" w:eastAsia="Georgia" w:hAnsi="Times New Roman" w:cs="Times New Roman"/>
          <w:color w:val="000000"/>
        </w:rPr>
        <w:t>Labour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 Bureau EUS (up to 2016-17) vs PLFS (from 2017-18). Values across this break are not strictly comparable.</w:t>
      </w:r>
    </w:p>
    <w:p w14:paraId="75489D0B" w14:textId="77777777" w:rsidR="00951D33" w:rsidRPr="006B6E45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GDP:</w:t>
      </w:r>
      <w:r w:rsidRPr="006B6E45">
        <w:rPr>
          <w:rFonts w:ascii="Times New Roman" w:eastAsia="Georgia" w:hAnsi="Times New Roman" w:cs="Times New Roman"/>
          <w:color w:val="000000"/>
        </w:rPr>
        <w:t xml:space="preserve"> 2025-26 uses a new base year (2022-23). The dashboard focuses mainly on FY2015-16–FY2024-25 where a consistent series is available.</w:t>
      </w:r>
    </w:p>
    <w:p w14:paraId="6F92994F" w14:textId="65AD6D52" w:rsidR="00951D33" w:rsidRPr="006B6E45" w:rsidRDefault="00000000" w:rsidP="006B6E45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These limitations are noted in the documentation and should be kept in mind when interpreting longer-term trends.</w:t>
      </w:r>
    </w:p>
    <w:p w14:paraId="6610586B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0" w:name="bm_5_calculations_and_derived_metric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5. Calculations and Derived Metrics</w:t>
      </w:r>
      <w:bookmarkEnd w:id="10"/>
    </w:p>
    <w:p w14:paraId="1C1CF04B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The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Calculations</w:t>
      </w:r>
      <w:r w:rsidRPr="006B6E45">
        <w:rPr>
          <w:rFonts w:ascii="Times New Roman" w:eastAsia="Georgia" w:hAnsi="Times New Roman" w:cs="Times New Roman"/>
          <w:color w:val="000000"/>
        </w:rPr>
        <w:t xml:space="preserve"> sheet creates analysis-ready series from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Master_Data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>.</w:t>
      </w:r>
    </w:p>
    <w:p w14:paraId="1D3B248C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1" w:name="bm_5_1_3_year_moving_average_of_g_812786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5.1 3-year moving average of GDP growth</w:t>
      </w:r>
      <w:bookmarkEnd w:id="11"/>
    </w:p>
    <w:p w14:paraId="00F5C44A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To smooth volatility:</w:t>
      </w:r>
    </w:p>
    <w:p w14:paraId="6F77EB8D" w14:textId="6DDFED7D" w:rsidR="00951D33" w:rsidRPr="006B6E45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=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AVERAGE(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C2:C4)   // in row for the third year</w:t>
      </w:r>
    </w:p>
    <w:p w14:paraId="6694618E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where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</w:t>
      </w:r>
      <w:r w:rsidRPr="006B6E45">
        <w:rPr>
          <w:rFonts w:ascii="Times New Roman" w:eastAsia="Georgia" w:hAnsi="Times New Roman" w:cs="Times New Roman"/>
          <w:color w:val="000000"/>
        </w:rPr>
        <w:t xml:space="preserve"> contains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Real_GDP_Growth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_%</w:t>
      </w:r>
      <w:r w:rsidRPr="006B6E45">
        <w:rPr>
          <w:rFonts w:ascii="Times New Roman" w:eastAsia="Georgia" w:hAnsi="Times New Roman" w:cs="Times New Roman"/>
          <w:color w:val="000000"/>
        </w:rPr>
        <w:t>. This produces a trend line that is less sensitive to single-year shocks (e.g., COVID-19).</w:t>
      </w:r>
    </w:p>
    <w:p w14:paraId="656F682A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2" w:name="bm_5_2_simple_correlation_analysi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5.2 Simple correlation analysis</w:t>
      </w:r>
      <w:bookmarkEnd w:id="12"/>
    </w:p>
    <w:p w14:paraId="7DFBFC74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To examine linear relationships between variables:</w:t>
      </w:r>
    </w:p>
    <w:p w14:paraId="4710EF3E" w14:textId="6DB5ADF8" w:rsidR="00951D33" w:rsidRPr="006B6E45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=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CORREL(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C2:C11, H2:H11)</w:t>
      </w:r>
    </w:p>
    <w:p w14:paraId="6FB6F629" w14:textId="77777777" w:rsidR="00951D33" w:rsidRPr="006B6E45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Example: correlation between real GDP growth (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</w:t>
      </w:r>
      <w:r w:rsidRPr="006B6E45">
        <w:rPr>
          <w:rFonts w:ascii="Times New Roman" w:eastAsia="Georgia" w:hAnsi="Times New Roman" w:cs="Times New Roman"/>
          <w:color w:val="000000"/>
        </w:rPr>
        <w:t>) and total FDI inflows (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H</w:t>
      </w:r>
      <w:r w:rsidRPr="006B6E45">
        <w:rPr>
          <w:rFonts w:ascii="Times New Roman" w:eastAsia="Georgia" w:hAnsi="Times New Roman" w:cs="Times New Roman"/>
          <w:color w:val="000000"/>
        </w:rPr>
        <w:t>).</w:t>
      </w:r>
    </w:p>
    <w:p w14:paraId="590E7E86" w14:textId="77777777" w:rsidR="00951D33" w:rsidRPr="006B6E45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lastRenderedPageBreak/>
        <w:t>Values are between -1 and 1; closer to ±1 indicates stronger linear relationships.</w:t>
      </w:r>
    </w:p>
    <w:p w14:paraId="1C18CFCC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Similar correlations can be computed for other pairs, e.g.:</w:t>
      </w:r>
    </w:p>
    <w:p w14:paraId="7EE874E9" w14:textId="77777777" w:rsidR="00951D33" w:rsidRPr="006B6E45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Inflation vs unemployment.</w:t>
      </w:r>
    </w:p>
    <w:p w14:paraId="36DA0A80" w14:textId="77777777" w:rsidR="00951D33" w:rsidRPr="006B6E45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GDP growth vs trade balance.</w:t>
      </w:r>
    </w:p>
    <w:p w14:paraId="65D1B414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3" w:name="bm_5_3_approximate_real_per_capit_11795d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5.3 Approximate real per capita income (optional)</w:t>
      </w:r>
      <w:bookmarkEnd w:id="13"/>
    </w:p>
    <w:p w14:paraId="38F64C77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A simple real per capita index can be constructed by deflating nominal per capita NNI with the CPI index, using a base year:</w:t>
      </w:r>
    </w:p>
    <w:p w14:paraId="5BE04BF8" w14:textId="52C514A4" w:rsidR="00951D33" w:rsidRPr="006B6E45" w:rsidRDefault="00000000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=J2 / (E2 / $E$2)</w:t>
      </w:r>
    </w:p>
    <w:p w14:paraId="46CF41A9" w14:textId="77777777" w:rsidR="00951D33" w:rsidRPr="006B6E45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J2</w:t>
      </w:r>
      <w:r w:rsidRPr="006B6E45">
        <w:rPr>
          <w:rFonts w:ascii="Times New Roman" w:eastAsia="Georgia" w:hAnsi="Times New Roman" w:cs="Times New Roman"/>
          <w:color w:val="000000"/>
        </w:rPr>
        <w:t xml:space="preserve"> = per capita NNI in nominal terms.</w:t>
      </w:r>
    </w:p>
    <w:p w14:paraId="1816BEB3" w14:textId="77777777" w:rsidR="00951D33" w:rsidRPr="006B6E45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E2</w:t>
      </w:r>
      <w:r w:rsidRPr="006B6E45">
        <w:rPr>
          <w:rFonts w:ascii="Times New Roman" w:eastAsia="Georgia" w:hAnsi="Times New Roman" w:cs="Times New Roman"/>
          <w:color w:val="000000"/>
        </w:rPr>
        <w:t xml:space="preserve"> = CPI in that year.</w:t>
      </w:r>
    </w:p>
    <w:p w14:paraId="3B9E8563" w14:textId="77777777" w:rsidR="00951D33" w:rsidRPr="006B6E45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$E$2</w:t>
      </w:r>
      <w:r w:rsidRPr="006B6E45">
        <w:rPr>
          <w:rFonts w:ascii="Times New Roman" w:eastAsia="Georgia" w:hAnsi="Times New Roman" w:cs="Times New Roman"/>
          <w:color w:val="000000"/>
        </w:rPr>
        <w:t xml:space="preserve"> = CPI in the base year (e.g., FY2015-16).</w:t>
      </w:r>
    </w:p>
    <w:p w14:paraId="4B6FEED2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This yields an index where the base year is 1.0.</w:t>
      </w:r>
    </w:p>
    <w:p w14:paraId="2029CF8C" w14:textId="77777777" w:rsidR="00951D33" w:rsidRPr="006B6E45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6B6E45">
        <w:rPr>
          <w:rFonts w:ascii="Times New Roman" w:hAnsi="Times New Roman" w:cs="Times New Roman"/>
          <w:noProof/>
        </w:rPr>
      </w:r>
      <w:r w:rsidRPr="006B6E45">
        <w:rPr>
          <w:rFonts w:ascii="Times New Roman" w:hAnsi="Times New Roman" w:cs="Times New Roman"/>
          <w:noProof/>
        </w:rPr>
        <w:pict w14:anchorId="758BE68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0BFEDA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4" w:name="bm_6_dashboard_design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6. Dashboard Design</w:t>
      </w:r>
      <w:bookmarkEnd w:id="14"/>
    </w:p>
    <w:p w14:paraId="0A3CFEF7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The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Dashboard</w:t>
      </w:r>
      <w:r w:rsidRPr="006B6E45">
        <w:rPr>
          <w:rFonts w:ascii="Times New Roman" w:eastAsia="Georgia" w:hAnsi="Times New Roman" w:cs="Times New Roman"/>
          <w:color w:val="000000"/>
        </w:rPr>
        <w:t xml:space="preserve"> sheet combines KPI cards and charts.</w:t>
      </w:r>
    </w:p>
    <w:p w14:paraId="610DF051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5" w:name="bm_6_1_kpi_card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6.1 KPI cards</w:t>
      </w:r>
      <w:bookmarkEnd w:id="15"/>
    </w:p>
    <w:p w14:paraId="6EC9422B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Five KPI cards summarize the latest year (FY2024-25):</w:t>
      </w:r>
    </w:p>
    <w:p w14:paraId="39FC574B" w14:textId="77777777" w:rsidR="00951D33" w:rsidRPr="006B6E45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GDP at current prices</w:t>
      </w:r>
    </w:p>
    <w:p w14:paraId="20ADB2D6" w14:textId="77777777" w:rsidR="00951D33" w:rsidRPr="006B6E45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CPI inflation</w:t>
      </w:r>
    </w:p>
    <w:p w14:paraId="42B2865F" w14:textId="77777777" w:rsidR="00951D33" w:rsidRPr="006B6E45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Overall unemployment</w:t>
      </w:r>
    </w:p>
    <w:p w14:paraId="55D9C10E" w14:textId="77777777" w:rsidR="00951D33" w:rsidRPr="006B6E45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Total FDI inflows</w:t>
      </w:r>
    </w:p>
    <w:p w14:paraId="1DD0080F" w14:textId="77777777" w:rsidR="00951D33" w:rsidRPr="006B6E45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Per capita NNI</w:t>
      </w:r>
    </w:p>
    <w:p w14:paraId="50D1F659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Each card uses:</w:t>
      </w:r>
    </w:p>
    <w:p w14:paraId="21E49870" w14:textId="77777777" w:rsidR="00951D33" w:rsidRPr="006B6E45" w:rsidRDefault="00000000">
      <w:pPr>
        <w:numPr>
          <w:ilvl w:val="0"/>
          <w:numId w:val="10"/>
        </w:numPr>
        <w:spacing w:after="210" w:line="360" w:lineRule="auto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INDEX-MATCH</w:t>
      </w:r>
      <w:r w:rsidRPr="006B6E45">
        <w:rPr>
          <w:rFonts w:ascii="Times New Roman" w:eastAsia="Georgia" w:hAnsi="Times New Roman" w:cs="Times New Roman"/>
          <w:color w:val="000000"/>
        </w:rPr>
        <w:t xml:space="preserve"> to fetch the latest value:</w:t>
      </w:r>
    </w:p>
    <w:p w14:paraId="59B8CDF0" w14:textId="42A6D1EA" w:rsidR="00951D33" w:rsidRPr="006B6E45" w:rsidRDefault="00000000">
      <w:pPr>
        <w:shd w:val="clear" w:color="auto" w:fill="F8F8FA"/>
        <w:spacing w:line="336" w:lineRule="auto"/>
        <w:ind w:left="540"/>
        <w:rPr>
          <w:rFonts w:ascii="Times New Roman" w:hAnsi="Times New Roman" w:cs="Times New Roman"/>
        </w:rPr>
      </w:pP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=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INDEX(</w:t>
      </w:r>
      <w:proofErr w:type="spellStart"/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Master_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Data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!$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B$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2:$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B$11, 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MATCH(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"2024-25",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Master_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Data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!$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A$</w:t>
      </w: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2:$</w:t>
      </w:r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A$11, 0))</w:t>
      </w:r>
    </w:p>
    <w:p w14:paraId="21C15472" w14:textId="77777777" w:rsidR="00951D33" w:rsidRPr="006B6E45" w:rsidRDefault="00000000">
      <w:pPr>
        <w:numPr>
          <w:ilvl w:val="0"/>
          <w:numId w:val="10"/>
        </w:num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A YoY change calculation:</w:t>
      </w:r>
    </w:p>
    <w:p w14:paraId="10D14E3E" w14:textId="14CFE171" w:rsidR="00951D33" w:rsidRPr="006B6E45" w:rsidRDefault="00000000">
      <w:pPr>
        <w:shd w:val="clear" w:color="auto" w:fill="F8F8FA"/>
        <w:spacing w:line="336" w:lineRule="auto"/>
        <w:ind w:left="540"/>
        <w:rPr>
          <w:rFonts w:ascii="Times New Roman" w:hAnsi="Times New Roman" w:cs="Times New Roman"/>
        </w:rPr>
      </w:pPr>
      <w:proofErr w:type="gram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=(</w:t>
      </w:r>
      <w:proofErr w:type="spellStart"/>
      <w:proofErr w:type="gram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Current_Value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 -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Previous_Year_Value</w:t>
      </w:r>
      <w:proofErr w:type="spellEnd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 xml:space="preserve">) /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</w:rPr>
        <w:t>Previous_Year_Value</w:t>
      </w:r>
      <w:proofErr w:type="spellEnd"/>
    </w:p>
    <w:p w14:paraId="48B3562C" w14:textId="77777777" w:rsidR="00951D33" w:rsidRPr="006B6E45" w:rsidRDefault="00000000">
      <w:pPr>
        <w:numPr>
          <w:ilvl w:val="0"/>
          <w:numId w:val="10"/>
        </w:num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Conditional formatting to color the YoY change:</w:t>
      </w:r>
    </w:p>
    <w:p w14:paraId="22FDB1EC" w14:textId="77777777" w:rsidR="00951D33" w:rsidRPr="006B6E45" w:rsidRDefault="00000000">
      <w:pPr>
        <w:numPr>
          <w:ilvl w:val="1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Green when an increase is desirable (e.g., GDP, FDI, per capita).</w:t>
      </w:r>
    </w:p>
    <w:p w14:paraId="799F7FB3" w14:textId="77777777" w:rsidR="00951D33" w:rsidRPr="006B6E45" w:rsidRDefault="00000000">
      <w:pPr>
        <w:numPr>
          <w:ilvl w:val="1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lastRenderedPageBreak/>
        <w:t>Green when a decrease is desirable (e.g., inflation, unemployment).</w:t>
      </w:r>
    </w:p>
    <w:p w14:paraId="76F2F57A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6" w:name="bm_6_2_chart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6.2 Charts</w:t>
      </w:r>
      <w:bookmarkEnd w:id="16"/>
    </w:p>
    <w:p w14:paraId="61C04879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The dashboard currently includes five charts:</w:t>
      </w:r>
    </w:p>
    <w:p w14:paraId="28A92D3D" w14:textId="77777777" w:rsidR="00951D33" w:rsidRPr="006B6E45" w:rsidRDefault="00000000">
      <w:pPr>
        <w:numPr>
          <w:ilvl w:val="0"/>
          <w:numId w:val="11"/>
        </w:num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Real GDP Growth vs 3-Year Moving Average</w:t>
      </w:r>
      <w:r w:rsidRPr="006B6E45">
        <w:rPr>
          <w:rFonts w:ascii="Times New Roman" w:eastAsia="Georgia" w:hAnsi="Times New Roman" w:cs="Times New Roman"/>
          <w:color w:val="000000"/>
        </w:rPr>
        <w:t xml:space="preserve"> (line chart)</w:t>
      </w:r>
    </w:p>
    <w:p w14:paraId="7D394A7C" w14:textId="77777777" w:rsidR="00951D33" w:rsidRPr="006B6E45" w:rsidRDefault="00000000">
      <w:pPr>
        <w:numPr>
          <w:ilvl w:val="1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Raw growth and smoothed trend in one visual.</w:t>
      </w:r>
    </w:p>
    <w:p w14:paraId="19EB6246" w14:textId="77777777" w:rsidR="00951D33" w:rsidRPr="006B6E45" w:rsidRDefault="00000000">
      <w:pPr>
        <w:numPr>
          <w:ilvl w:val="0"/>
          <w:numId w:val="11"/>
        </w:num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CPI vs WPI Inflation</w:t>
      </w:r>
      <w:r w:rsidRPr="006B6E45">
        <w:rPr>
          <w:rFonts w:ascii="Times New Roman" w:eastAsia="Georgia" w:hAnsi="Times New Roman" w:cs="Times New Roman"/>
          <w:color w:val="000000"/>
        </w:rPr>
        <w:t xml:space="preserve"> (line chart)</w:t>
      </w:r>
    </w:p>
    <w:p w14:paraId="7625C834" w14:textId="77777777" w:rsidR="00951D33" w:rsidRPr="006B6E45" w:rsidRDefault="00000000">
      <w:pPr>
        <w:numPr>
          <w:ilvl w:val="1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Highlights divergence between wholesale and consumer prices.</w:t>
      </w:r>
    </w:p>
    <w:p w14:paraId="227E7C9C" w14:textId="77777777" w:rsidR="00951D33" w:rsidRPr="006B6E45" w:rsidRDefault="00000000">
      <w:pPr>
        <w:numPr>
          <w:ilvl w:val="0"/>
          <w:numId w:val="11"/>
        </w:num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CPI Inflation vs Unemployment</w:t>
      </w:r>
      <w:r w:rsidRPr="006B6E45">
        <w:rPr>
          <w:rFonts w:ascii="Times New Roman" w:eastAsia="Georgia" w:hAnsi="Times New Roman" w:cs="Times New Roman"/>
          <w:color w:val="000000"/>
        </w:rPr>
        <w:t xml:space="preserve"> (combo chart with dual axes)</w:t>
      </w:r>
    </w:p>
    <w:p w14:paraId="697F411D" w14:textId="77777777" w:rsidR="00951D33" w:rsidRPr="006B6E45" w:rsidRDefault="00000000">
      <w:pPr>
        <w:numPr>
          <w:ilvl w:val="1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CPI as a line, unemployment as bars on a secondary axis.</w:t>
      </w:r>
    </w:p>
    <w:p w14:paraId="51F1EA93" w14:textId="77777777" w:rsidR="00951D33" w:rsidRPr="006B6E45" w:rsidRDefault="00000000">
      <w:pPr>
        <w:numPr>
          <w:ilvl w:val="0"/>
          <w:numId w:val="11"/>
        </w:num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Total FDI Inflows</w:t>
      </w:r>
      <w:r w:rsidRPr="006B6E45">
        <w:rPr>
          <w:rFonts w:ascii="Times New Roman" w:eastAsia="Georgia" w:hAnsi="Times New Roman" w:cs="Times New Roman"/>
          <w:color w:val="000000"/>
        </w:rPr>
        <w:t xml:space="preserve"> (column chart)</w:t>
      </w:r>
    </w:p>
    <w:p w14:paraId="48C0D89A" w14:textId="77777777" w:rsidR="00951D33" w:rsidRPr="006B6E45" w:rsidRDefault="00000000">
      <w:pPr>
        <w:numPr>
          <w:ilvl w:val="1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Shows level and trend of annual FDI inflows.</w:t>
      </w:r>
    </w:p>
    <w:p w14:paraId="29426590" w14:textId="77777777" w:rsidR="00951D33" w:rsidRPr="006B6E45" w:rsidRDefault="00000000">
      <w:pPr>
        <w:numPr>
          <w:ilvl w:val="0"/>
          <w:numId w:val="11"/>
        </w:num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Merchandise Trade Balance</w:t>
      </w:r>
      <w:r w:rsidRPr="006B6E45">
        <w:rPr>
          <w:rFonts w:ascii="Times New Roman" w:eastAsia="Georgia" w:hAnsi="Times New Roman" w:cs="Times New Roman"/>
          <w:color w:val="000000"/>
        </w:rPr>
        <w:t xml:space="preserve"> (column chart)</w:t>
      </w:r>
    </w:p>
    <w:p w14:paraId="733F0214" w14:textId="77777777" w:rsidR="00951D33" w:rsidRPr="006B6E45" w:rsidRDefault="00000000">
      <w:pPr>
        <w:numPr>
          <w:ilvl w:val="1"/>
          <w:numId w:val="11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Negative values indicate trade deficits; magnitude of deficit visible over time.</w:t>
      </w:r>
    </w:p>
    <w:p w14:paraId="533F9F04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Each chart includes:</w:t>
      </w:r>
    </w:p>
    <w:p w14:paraId="4AC45011" w14:textId="77777777" w:rsidR="00951D33" w:rsidRPr="006B6E45" w:rsidRDefault="00000000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Clear titles.</w:t>
      </w:r>
    </w:p>
    <w:p w14:paraId="6840806D" w14:textId="77777777" w:rsidR="00951D33" w:rsidRPr="006B6E45" w:rsidRDefault="00000000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Axis labels (units and frequency).</w:t>
      </w:r>
    </w:p>
    <w:p w14:paraId="48C9A8D1" w14:textId="6AB73952" w:rsidR="00951D33" w:rsidRPr="006B6E45" w:rsidRDefault="00000000" w:rsidP="006B6E45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Legends with descriptive series names (no default “Series1”).</w:t>
      </w:r>
    </w:p>
    <w:p w14:paraId="7B5E35DC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7" w:name="bm_7_usage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7. Usage</w:t>
      </w:r>
      <w:bookmarkEnd w:id="17"/>
    </w:p>
    <w:p w14:paraId="68453440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8" w:name="bm_7_1_exploring_the_dashboard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7.1 Exploring the dashboard</w:t>
      </w:r>
      <w:bookmarkEnd w:id="18"/>
    </w:p>
    <w:p w14:paraId="41F27ADA" w14:textId="77777777" w:rsidR="00951D33" w:rsidRPr="006B6E45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Open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India_Macro_Dashboard_Master.xlsx</w:t>
      </w:r>
      <w:r w:rsidRPr="006B6E45">
        <w:rPr>
          <w:rFonts w:ascii="Times New Roman" w:eastAsia="Georgia" w:hAnsi="Times New Roman" w:cs="Times New Roman"/>
          <w:color w:val="000000"/>
        </w:rPr>
        <w:t>.</w:t>
      </w:r>
    </w:p>
    <w:p w14:paraId="0E5FE3DA" w14:textId="77777777" w:rsidR="00951D33" w:rsidRPr="006B6E45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Start on the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Dashboard</w:t>
      </w:r>
      <w:r w:rsidRPr="006B6E45">
        <w:rPr>
          <w:rFonts w:ascii="Times New Roman" w:eastAsia="Georgia" w:hAnsi="Times New Roman" w:cs="Times New Roman"/>
          <w:color w:val="000000"/>
        </w:rPr>
        <w:t xml:space="preserve"> sheet to see the top-level KPIs and charts.</w:t>
      </w:r>
    </w:p>
    <w:p w14:paraId="0FB4CFD4" w14:textId="77777777" w:rsidR="00951D33" w:rsidRPr="006B6E45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Use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Master_Data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 and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Calculations</w:t>
      </w:r>
      <w:r w:rsidRPr="006B6E45">
        <w:rPr>
          <w:rFonts w:ascii="Times New Roman" w:eastAsia="Georgia" w:hAnsi="Times New Roman" w:cs="Times New Roman"/>
          <w:color w:val="000000"/>
        </w:rPr>
        <w:t xml:space="preserve"> to explore or extend analysis.</w:t>
      </w:r>
    </w:p>
    <w:p w14:paraId="2695C33F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9" w:name="bm_7_2_updating_with_new_data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7.2 Updating with new data</w:t>
      </w:r>
      <w:bookmarkEnd w:id="19"/>
    </w:p>
    <w:p w14:paraId="5A700973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To add a new financial year:</w:t>
      </w:r>
    </w:p>
    <w:p w14:paraId="17275826" w14:textId="77777777" w:rsidR="00951D33" w:rsidRPr="006B6E45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Append the year and values to each relevant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Raw_</w:t>
      </w:r>
      <w:r w:rsidRPr="006B6E45">
        <w:rPr>
          <w:rFonts w:ascii="Times New Roman" w:eastAsia="Georgia" w:hAnsi="Times New Roman" w:cs="Times New Roman"/>
          <w:color w:val="000000"/>
        </w:rPr>
        <w:t xml:space="preserve"> sheet.</w:t>
      </w:r>
    </w:p>
    <w:p w14:paraId="5B6D5556" w14:textId="77777777" w:rsidR="00951D33" w:rsidRPr="006B6E45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Extend ranges used in </w:t>
      </w:r>
      <w:proofErr w:type="spellStart"/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Master_Data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 VLOOKUP formulas if necessary.</w:t>
      </w:r>
    </w:p>
    <w:p w14:paraId="0C6FB28A" w14:textId="77777777" w:rsidR="00951D33" w:rsidRPr="006B6E45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Extend ranges in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Calculations</w:t>
      </w:r>
      <w:r w:rsidRPr="006B6E45">
        <w:rPr>
          <w:rFonts w:ascii="Times New Roman" w:eastAsia="Georgia" w:hAnsi="Times New Roman" w:cs="Times New Roman"/>
          <w:color w:val="000000"/>
        </w:rPr>
        <w:t xml:space="preserve"> (e.g., moving averages, correlations).</w:t>
      </w:r>
    </w:p>
    <w:p w14:paraId="342119FF" w14:textId="77777777" w:rsidR="00951D33" w:rsidRPr="006B6E45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Charts and KPI cards will update automatically if their ranges include the new rows.</w:t>
      </w:r>
    </w:p>
    <w:p w14:paraId="74EF1883" w14:textId="77777777" w:rsidR="00951D33" w:rsidRPr="006B6E45" w:rsidRDefault="00000000">
      <w:pPr>
        <w:spacing w:before="210" w:after="0" w:line="360" w:lineRule="auto"/>
        <w:rPr>
          <w:rFonts w:ascii="Times New Roman" w:hAnsi="Times New Roman" w:cs="Times New Roman"/>
        </w:rPr>
      </w:pPr>
      <w:r w:rsidRPr="006B6E45">
        <w:rPr>
          <w:rFonts w:ascii="Times New Roman" w:hAnsi="Times New Roman" w:cs="Times New Roman"/>
          <w:noProof/>
        </w:rPr>
      </w:r>
      <w:r w:rsidRPr="006B6E45">
        <w:rPr>
          <w:rFonts w:ascii="Times New Roman" w:hAnsi="Times New Roman" w:cs="Times New Roman"/>
          <w:noProof/>
        </w:rPr>
        <w:pict w14:anchorId="7AEB907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8C415E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0" w:name="bm_8_limitation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8. Limitations</w:t>
      </w:r>
      <w:bookmarkEnd w:id="20"/>
    </w:p>
    <w:p w14:paraId="06B47CA8" w14:textId="77777777" w:rsidR="00951D33" w:rsidRPr="006B6E45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Nominal vs real:</w:t>
      </w:r>
      <w:r w:rsidRPr="006B6E45">
        <w:rPr>
          <w:rFonts w:ascii="Times New Roman" w:eastAsia="Georgia" w:hAnsi="Times New Roman" w:cs="Times New Roman"/>
          <w:color w:val="000000"/>
        </w:rPr>
        <w:t xml:space="preserve"> GDP and per capita figures for the dashboard are primarily nominal; real interpretations should adjust for inflation.</w:t>
      </w:r>
    </w:p>
    <w:p w14:paraId="551EF3C6" w14:textId="77777777" w:rsidR="00951D33" w:rsidRPr="006B6E45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Unemployment series break:</w:t>
      </w:r>
      <w:r w:rsidRPr="006B6E45">
        <w:rPr>
          <w:rFonts w:ascii="Times New Roman" w:eastAsia="Georgia" w:hAnsi="Times New Roman" w:cs="Times New Roman"/>
          <w:color w:val="000000"/>
        </w:rPr>
        <w:t xml:space="preserve"> Comparisons across 2017-18 should consider the EUS → PLFS change.</w:t>
      </w:r>
    </w:p>
    <w:p w14:paraId="1F7ADC5B" w14:textId="77777777" w:rsidR="00951D33" w:rsidRPr="006B6E45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No causal inference:</w:t>
      </w:r>
      <w:r w:rsidRPr="006B6E45">
        <w:rPr>
          <w:rFonts w:ascii="Times New Roman" w:eastAsia="Georgia" w:hAnsi="Times New Roman" w:cs="Times New Roman"/>
          <w:color w:val="000000"/>
        </w:rPr>
        <w:t xml:space="preserve"> Correlations and visual relationships are descriptive and should not be interpreted as causal without further econometric work.</w:t>
      </w:r>
    </w:p>
    <w:p w14:paraId="6F9DCDCE" w14:textId="069D2718" w:rsidR="00951D33" w:rsidRPr="006B6E45" w:rsidRDefault="00000000" w:rsidP="006B6E45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b/>
          <w:color w:val="000000"/>
        </w:rPr>
        <w:t>Static Excel environment:</w:t>
      </w:r>
      <w:r w:rsidRPr="006B6E45">
        <w:rPr>
          <w:rFonts w:ascii="Times New Roman" w:eastAsia="Georgia" w:hAnsi="Times New Roman" w:cs="Times New Roman"/>
          <w:color w:val="000000"/>
        </w:rPr>
        <w:t xml:space="preserve"> The dashboard is not connected to live APIs; updating requires manual data refresh.</w:t>
      </w:r>
    </w:p>
    <w:p w14:paraId="13ED4DA0" w14:textId="77777777" w:rsidR="00951D33" w:rsidRPr="006B6E45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1" w:name="bm_9_possible_extensions"/>
      <w:r w:rsidRPr="006B6E45">
        <w:rPr>
          <w:rFonts w:ascii="Times New Roman" w:eastAsia="Georgia" w:hAnsi="Times New Roman" w:cs="Times New Roman"/>
          <w:b/>
          <w:color w:val="000000"/>
          <w:sz w:val="24"/>
        </w:rPr>
        <w:t>9. Possible Extensions</w:t>
      </w:r>
      <w:bookmarkEnd w:id="21"/>
    </w:p>
    <w:p w14:paraId="11C7BB49" w14:textId="77777777" w:rsidR="00951D33" w:rsidRPr="006B6E45" w:rsidRDefault="00000000">
      <w:pPr>
        <w:spacing w:after="210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Potential future enhancements:</w:t>
      </w:r>
    </w:p>
    <w:p w14:paraId="36688FED" w14:textId="77777777" w:rsidR="00951D33" w:rsidRPr="006B6E45" w:rsidRDefault="00000000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Add slicers and </w:t>
      </w:r>
      <w:proofErr w:type="spellStart"/>
      <w:r w:rsidRPr="006B6E45">
        <w:rPr>
          <w:rFonts w:ascii="Times New Roman" w:eastAsia="Georgia" w:hAnsi="Times New Roman" w:cs="Times New Roman"/>
          <w:color w:val="000000"/>
        </w:rPr>
        <w:t>PivotCharts</w:t>
      </w:r>
      <w:proofErr w:type="spellEnd"/>
      <w:r w:rsidRPr="006B6E45">
        <w:rPr>
          <w:rFonts w:ascii="Times New Roman" w:eastAsia="Georgia" w:hAnsi="Times New Roman" w:cs="Times New Roman"/>
          <w:color w:val="000000"/>
        </w:rPr>
        <w:t xml:space="preserve"> for interactive filtering by period (e.g., pre-/post-GST, pre-/post-COVID).</w:t>
      </w:r>
    </w:p>
    <w:p w14:paraId="6466379C" w14:textId="77777777" w:rsidR="00951D33" w:rsidRPr="006B6E45" w:rsidRDefault="00000000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 xml:space="preserve">Build a forecasting section using </w:t>
      </w:r>
      <w:r w:rsidRPr="006B6E45">
        <w:rPr>
          <w:rStyle w:val="VerbatimChar"/>
          <w:rFonts w:ascii="Times New Roman" w:eastAsia="menlo" w:hAnsi="Times New Roman" w:cs="Times New Roman"/>
          <w:color w:val="000000"/>
          <w:sz w:val="18"/>
          <w:shd w:val="clear" w:color="auto" w:fill="F8F8FA"/>
        </w:rPr>
        <w:t>FORECAST.LINEAR</w:t>
      </w:r>
      <w:r w:rsidRPr="006B6E45">
        <w:rPr>
          <w:rFonts w:ascii="Times New Roman" w:eastAsia="Georgia" w:hAnsi="Times New Roman" w:cs="Times New Roman"/>
          <w:color w:val="000000"/>
        </w:rPr>
        <w:t xml:space="preserve"> or regression-based projections for key indicators.</w:t>
      </w:r>
    </w:p>
    <w:p w14:paraId="40704492" w14:textId="77777777" w:rsidR="00951D33" w:rsidRPr="006B6E45" w:rsidRDefault="00000000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Incorporate sector-wise GDP charts and KPIs.</w:t>
      </w:r>
    </w:p>
    <w:p w14:paraId="2E037A45" w14:textId="77777777" w:rsidR="00951D33" w:rsidRPr="006B6E45" w:rsidRDefault="00000000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Add comparisons with peer economies (e.g., China, Indonesia) using World Bank data.</w:t>
      </w:r>
    </w:p>
    <w:p w14:paraId="4FA0CCD1" w14:textId="78CDD1F7" w:rsidR="00951D33" w:rsidRPr="006B6E45" w:rsidRDefault="00000000" w:rsidP="006B6E45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 w:rsidRPr="006B6E45">
        <w:rPr>
          <w:rFonts w:ascii="Times New Roman" w:eastAsia="Georgia" w:hAnsi="Times New Roman" w:cs="Times New Roman"/>
          <w:color w:val="000000"/>
        </w:rPr>
        <w:t>Convert the Excel logic into a reproducible Python/R workflow alongside the dashboard.</w:t>
      </w:r>
    </w:p>
    <w:sectPr w:rsidR="00951D33" w:rsidRPr="006B6E45" w:rsidSect="006B6E45">
      <w:pgSz w:w="12240" w:h="15840"/>
      <w:pgMar w:top="426" w:right="1365" w:bottom="426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118C"/>
    <w:multiLevelType w:val="hybridMultilevel"/>
    <w:tmpl w:val="CB7E28B2"/>
    <w:lvl w:ilvl="0" w:tplc="B540F5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4207FA">
      <w:numFmt w:val="decimal"/>
      <w:lvlText w:val=""/>
      <w:lvlJc w:val="left"/>
    </w:lvl>
    <w:lvl w:ilvl="2" w:tplc="55367FA0">
      <w:numFmt w:val="decimal"/>
      <w:lvlText w:val=""/>
      <w:lvlJc w:val="left"/>
    </w:lvl>
    <w:lvl w:ilvl="3" w:tplc="85F6A2EA">
      <w:numFmt w:val="decimal"/>
      <w:lvlText w:val=""/>
      <w:lvlJc w:val="left"/>
    </w:lvl>
    <w:lvl w:ilvl="4" w:tplc="6B7CD50A">
      <w:numFmt w:val="decimal"/>
      <w:lvlText w:val=""/>
      <w:lvlJc w:val="left"/>
    </w:lvl>
    <w:lvl w:ilvl="5" w:tplc="7A464B4A">
      <w:numFmt w:val="decimal"/>
      <w:lvlText w:val=""/>
      <w:lvlJc w:val="left"/>
    </w:lvl>
    <w:lvl w:ilvl="6" w:tplc="D9A2C17C">
      <w:numFmt w:val="decimal"/>
      <w:lvlText w:val=""/>
      <w:lvlJc w:val="left"/>
    </w:lvl>
    <w:lvl w:ilvl="7" w:tplc="399229EA">
      <w:numFmt w:val="decimal"/>
      <w:lvlText w:val=""/>
      <w:lvlJc w:val="left"/>
    </w:lvl>
    <w:lvl w:ilvl="8" w:tplc="4D1C911E">
      <w:numFmt w:val="decimal"/>
      <w:lvlText w:val=""/>
      <w:lvlJc w:val="left"/>
    </w:lvl>
  </w:abstractNum>
  <w:abstractNum w:abstractNumId="1" w15:restartNumberingAfterBreak="0">
    <w:nsid w:val="173B7062"/>
    <w:multiLevelType w:val="hybridMultilevel"/>
    <w:tmpl w:val="179C2A2C"/>
    <w:lvl w:ilvl="0" w:tplc="4364AF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5E117A">
      <w:numFmt w:val="decimal"/>
      <w:lvlText w:val=""/>
      <w:lvlJc w:val="left"/>
    </w:lvl>
    <w:lvl w:ilvl="2" w:tplc="C790912C">
      <w:numFmt w:val="decimal"/>
      <w:lvlText w:val=""/>
      <w:lvlJc w:val="left"/>
    </w:lvl>
    <w:lvl w:ilvl="3" w:tplc="C19023AE">
      <w:numFmt w:val="decimal"/>
      <w:lvlText w:val=""/>
      <w:lvlJc w:val="left"/>
    </w:lvl>
    <w:lvl w:ilvl="4" w:tplc="478896E4">
      <w:numFmt w:val="decimal"/>
      <w:lvlText w:val=""/>
      <w:lvlJc w:val="left"/>
    </w:lvl>
    <w:lvl w:ilvl="5" w:tplc="22E8A3C8">
      <w:numFmt w:val="decimal"/>
      <w:lvlText w:val=""/>
      <w:lvlJc w:val="left"/>
    </w:lvl>
    <w:lvl w:ilvl="6" w:tplc="CABE8816">
      <w:numFmt w:val="decimal"/>
      <w:lvlText w:val=""/>
      <w:lvlJc w:val="left"/>
    </w:lvl>
    <w:lvl w:ilvl="7" w:tplc="2B04A214">
      <w:numFmt w:val="decimal"/>
      <w:lvlText w:val=""/>
      <w:lvlJc w:val="left"/>
    </w:lvl>
    <w:lvl w:ilvl="8" w:tplc="73AE7D06">
      <w:numFmt w:val="decimal"/>
      <w:lvlText w:val=""/>
      <w:lvlJc w:val="left"/>
    </w:lvl>
  </w:abstractNum>
  <w:abstractNum w:abstractNumId="2" w15:restartNumberingAfterBreak="0">
    <w:nsid w:val="19080EEC"/>
    <w:multiLevelType w:val="hybridMultilevel"/>
    <w:tmpl w:val="28966B6E"/>
    <w:lvl w:ilvl="0" w:tplc="F60000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7A53B6">
      <w:numFmt w:val="decimal"/>
      <w:lvlText w:val=""/>
      <w:lvlJc w:val="left"/>
    </w:lvl>
    <w:lvl w:ilvl="2" w:tplc="C158E672">
      <w:numFmt w:val="decimal"/>
      <w:lvlText w:val=""/>
      <w:lvlJc w:val="left"/>
    </w:lvl>
    <w:lvl w:ilvl="3" w:tplc="5B1EE398">
      <w:numFmt w:val="decimal"/>
      <w:lvlText w:val=""/>
      <w:lvlJc w:val="left"/>
    </w:lvl>
    <w:lvl w:ilvl="4" w:tplc="037AB946">
      <w:numFmt w:val="decimal"/>
      <w:lvlText w:val=""/>
      <w:lvlJc w:val="left"/>
    </w:lvl>
    <w:lvl w:ilvl="5" w:tplc="4BC683D2">
      <w:numFmt w:val="decimal"/>
      <w:lvlText w:val=""/>
      <w:lvlJc w:val="left"/>
    </w:lvl>
    <w:lvl w:ilvl="6" w:tplc="A81CC14E">
      <w:numFmt w:val="decimal"/>
      <w:lvlText w:val=""/>
      <w:lvlJc w:val="left"/>
    </w:lvl>
    <w:lvl w:ilvl="7" w:tplc="58D45658">
      <w:numFmt w:val="decimal"/>
      <w:lvlText w:val=""/>
      <w:lvlJc w:val="left"/>
    </w:lvl>
    <w:lvl w:ilvl="8" w:tplc="F0EC2EA8">
      <w:numFmt w:val="decimal"/>
      <w:lvlText w:val=""/>
      <w:lvlJc w:val="left"/>
    </w:lvl>
  </w:abstractNum>
  <w:abstractNum w:abstractNumId="3" w15:restartNumberingAfterBreak="0">
    <w:nsid w:val="1F554A55"/>
    <w:multiLevelType w:val="hybridMultilevel"/>
    <w:tmpl w:val="B02E6528"/>
    <w:lvl w:ilvl="0" w:tplc="3F701F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A4D3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E763792">
      <w:numFmt w:val="decimal"/>
      <w:lvlText w:val=""/>
      <w:lvlJc w:val="left"/>
    </w:lvl>
    <w:lvl w:ilvl="3" w:tplc="5D785A68">
      <w:numFmt w:val="decimal"/>
      <w:lvlText w:val=""/>
      <w:lvlJc w:val="left"/>
    </w:lvl>
    <w:lvl w:ilvl="4" w:tplc="9D8EEEC2">
      <w:numFmt w:val="decimal"/>
      <w:lvlText w:val=""/>
      <w:lvlJc w:val="left"/>
    </w:lvl>
    <w:lvl w:ilvl="5" w:tplc="4B7AFD72">
      <w:numFmt w:val="decimal"/>
      <w:lvlText w:val=""/>
      <w:lvlJc w:val="left"/>
    </w:lvl>
    <w:lvl w:ilvl="6" w:tplc="9BE0507A">
      <w:numFmt w:val="decimal"/>
      <w:lvlText w:val=""/>
      <w:lvlJc w:val="left"/>
    </w:lvl>
    <w:lvl w:ilvl="7" w:tplc="DC543124">
      <w:numFmt w:val="decimal"/>
      <w:lvlText w:val=""/>
      <w:lvlJc w:val="left"/>
    </w:lvl>
    <w:lvl w:ilvl="8" w:tplc="86F620AA">
      <w:numFmt w:val="decimal"/>
      <w:lvlText w:val=""/>
      <w:lvlJc w:val="left"/>
    </w:lvl>
  </w:abstractNum>
  <w:abstractNum w:abstractNumId="4" w15:restartNumberingAfterBreak="0">
    <w:nsid w:val="2B2C6AA8"/>
    <w:multiLevelType w:val="hybridMultilevel"/>
    <w:tmpl w:val="F64EB42E"/>
    <w:lvl w:ilvl="0" w:tplc="B9F451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24FA2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0466860">
      <w:numFmt w:val="decimal"/>
      <w:lvlText w:val=""/>
      <w:lvlJc w:val="left"/>
    </w:lvl>
    <w:lvl w:ilvl="3" w:tplc="A18E365A">
      <w:numFmt w:val="decimal"/>
      <w:lvlText w:val=""/>
      <w:lvlJc w:val="left"/>
    </w:lvl>
    <w:lvl w:ilvl="4" w:tplc="A2C03CE0">
      <w:numFmt w:val="decimal"/>
      <w:lvlText w:val=""/>
      <w:lvlJc w:val="left"/>
    </w:lvl>
    <w:lvl w:ilvl="5" w:tplc="F1C831FC">
      <w:numFmt w:val="decimal"/>
      <w:lvlText w:val=""/>
      <w:lvlJc w:val="left"/>
    </w:lvl>
    <w:lvl w:ilvl="6" w:tplc="0700CEC8">
      <w:numFmt w:val="decimal"/>
      <w:lvlText w:val=""/>
      <w:lvlJc w:val="left"/>
    </w:lvl>
    <w:lvl w:ilvl="7" w:tplc="6714DE5E">
      <w:numFmt w:val="decimal"/>
      <w:lvlText w:val=""/>
      <w:lvlJc w:val="left"/>
    </w:lvl>
    <w:lvl w:ilvl="8" w:tplc="5748F88E">
      <w:numFmt w:val="decimal"/>
      <w:lvlText w:val=""/>
      <w:lvlJc w:val="left"/>
    </w:lvl>
  </w:abstractNum>
  <w:abstractNum w:abstractNumId="5" w15:restartNumberingAfterBreak="0">
    <w:nsid w:val="3AEC1DA9"/>
    <w:multiLevelType w:val="hybridMultilevel"/>
    <w:tmpl w:val="083C4E66"/>
    <w:lvl w:ilvl="0" w:tplc="29642B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A80966">
      <w:numFmt w:val="decimal"/>
      <w:lvlText w:val=""/>
      <w:lvlJc w:val="left"/>
    </w:lvl>
    <w:lvl w:ilvl="2" w:tplc="0A1AD750">
      <w:numFmt w:val="decimal"/>
      <w:lvlText w:val=""/>
      <w:lvlJc w:val="left"/>
    </w:lvl>
    <w:lvl w:ilvl="3" w:tplc="AA00387E">
      <w:numFmt w:val="decimal"/>
      <w:lvlText w:val=""/>
      <w:lvlJc w:val="left"/>
    </w:lvl>
    <w:lvl w:ilvl="4" w:tplc="B04A7750">
      <w:numFmt w:val="decimal"/>
      <w:lvlText w:val=""/>
      <w:lvlJc w:val="left"/>
    </w:lvl>
    <w:lvl w:ilvl="5" w:tplc="D54AFB9C">
      <w:numFmt w:val="decimal"/>
      <w:lvlText w:val=""/>
      <w:lvlJc w:val="left"/>
    </w:lvl>
    <w:lvl w:ilvl="6" w:tplc="2D9ACC4A">
      <w:numFmt w:val="decimal"/>
      <w:lvlText w:val=""/>
      <w:lvlJc w:val="left"/>
    </w:lvl>
    <w:lvl w:ilvl="7" w:tplc="E25CA7AE">
      <w:numFmt w:val="decimal"/>
      <w:lvlText w:val=""/>
      <w:lvlJc w:val="left"/>
    </w:lvl>
    <w:lvl w:ilvl="8" w:tplc="65980304">
      <w:numFmt w:val="decimal"/>
      <w:lvlText w:val=""/>
      <w:lvlJc w:val="left"/>
    </w:lvl>
  </w:abstractNum>
  <w:abstractNum w:abstractNumId="6" w15:restartNumberingAfterBreak="0">
    <w:nsid w:val="40DC01CD"/>
    <w:multiLevelType w:val="hybridMultilevel"/>
    <w:tmpl w:val="A6E053A0"/>
    <w:lvl w:ilvl="0" w:tplc="9BC8AD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DA0170">
      <w:numFmt w:val="decimal"/>
      <w:lvlText w:val=""/>
      <w:lvlJc w:val="left"/>
    </w:lvl>
    <w:lvl w:ilvl="2" w:tplc="7B2A9286">
      <w:numFmt w:val="decimal"/>
      <w:lvlText w:val=""/>
      <w:lvlJc w:val="left"/>
    </w:lvl>
    <w:lvl w:ilvl="3" w:tplc="B91288B0">
      <w:numFmt w:val="decimal"/>
      <w:lvlText w:val=""/>
      <w:lvlJc w:val="left"/>
    </w:lvl>
    <w:lvl w:ilvl="4" w:tplc="35E056A4">
      <w:numFmt w:val="decimal"/>
      <w:lvlText w:val=""/>
      <w:lvlJc w:val="left"/>
    </w:lvl>
    <w:lvl w:ilvl="5" w:tplc="57889120">
      <w:numFmt w:val="decimal"/>
      <w:lvlText w:val=""/>
      <w:lvlJc w:val="left"/>
    </w:lvl>
    <w:lvl w:ilvl="6" w:tplc="E548AC7A">
      <w:numFmt w:val="decimal"/>
      <w:lvlText w:val=""/>
      <w:lvlJc w:val="left"/>
    </w:lvl>
    <w:lvl w:ilvl="7" w:tplc="7472B9EC">
      <w:numFmt w:val="decimal"/>
      <w:lvlText w:val=""/>
      <w:lvlJc w:val="left"/>
    </w:lvl>
    <w:lvl w:ilvl="8" w:tplc="44F865F8">
      <w:numFmt w:val="decimal"/>
      <w:lvlText w:val=""/>
      <w:lvlJc w:val="left"/>
    </w:lvl>
  </w:abstractNum>
  <w:abstractNum w:abstractNumId="7" w15:restartNumberingAfterBreak="0">
    <w:nsid w:val="40FB2335"/>
    <w:multiLevelType w:val="hybridMultilevel"/>
    <w:tmpl w:val="C71AC57A"/>
    <w:lvl w:ilvl="0" w:tplc="9682A2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5CDE5E">
      <w:numFmt w:val="decimal"/>
      <w:lvlText w:val=""/>
      <w:lvlJc w:val="left"/>
    </w:lvl>
    <w:lvl w:ilvl="2" w:tplc="3DC4E0DA">
      <w:numFmt w:val="decimal"/>
      <w:lvlText w:val=""/>
      <w:lvlJc w:val="left"/>
    </w:lvl>
    <w:lvl w:ilvl="3" w:tplc="94282A50">
      <w:numFmt w:val="decimal"/>
      <w:lvlText w:val=""/>
      <w:lvlJc w:val="left"/>
    </w:lvl>
    <w:lvl w:ilvl="4" w:tplc="98C09086">
      <w:numFmt w:val="decimal"/>
      <w:lvlText w:val=""/>
      <w:lvlJc w:val="left"/>
    </w:lvl>
    <w:lvl w:ilvl="5" w:tplc="FA3EC28A">
      <w:numFmt w:val="decimal"/>
      <w:lvlText w:val=""/>
      <w:lvlJc w:val="left"/>
    </w:lvl>
    <w:lvl w:ilvl="6" w:tplc="D3DE9B42">
      <w:numFmt w:val="decimal"/>
      <w:lvlText w:val=""/>
      <w:lvlJc w:val="left"/>
    </w:lvl>
    <w:lvl w:ilvl="7" w:tplc="E15C12F8">
      <w:numFmt w:val="decimal"/>
      <w:lvlText w:val=""/>
      <w:lvlJc w:val="left"/>
    </w:lvl>
    <w:lvl w:ilvl="8" w:tplc="367826AE">
      <w:numFmt w:val="decimal"/>
      <w:lvlText w:val=""/>
      <w:lvlJc w:val="left"/>
    </w:lvl>
  </w:abstractNum>
  <w:abstractNum w:abstractNumId="8" w15:restartNumberingAfterBreak="0">
    <w:nsid w:val="4DC241C4"/>
    <w:multiLevelType w:val="hybridMultilevel"/>
    <w:tmpl w:val="A052FAF6"/>
    <w:lvl w:ilvl="0" w:tplc="500E88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9A283C">
      <w:numFmt w:val="decimal"/>
      <w:lvlText w:val=""/>
      <w:lvlJc w:val="left"/>
    </w:lvl>
    <w:lvl w:ilvl="2" w:tplc="E1CAA866">
      <w:numFmt w:val="decimal"/>
      <w:lvlText w:val=""/>
      <w:lvlJc w:val="left"/>
    </w:lvl>
    <w:lvl w:ilvl="3" w:tplc="F202F8F2">
      <w:numFmt w:val="decimal"/>
      <w:lvlText w:val=""/>
      <w:lvlJc w:val="left"/>
    </w:lvl>
    <w:lvl w:ilvl="4" w:tplc="E07A6478">
      <w:numFmt w:val="decimal"/>
      <w:lvlText w:val=""/>
      <w:lvlJc w:val="left"/>
    </w:lvl>
    <w:lvl w:ilvl="5" w:tplc="CCC8B51C">
      <w:numFmt w:val="decimal"/>
      <w:lvlText w:val=""/>
      <w:lvlJc w:val="left"/>
    </w:lvl>
    <w:lvl w:ilvl="6" w:tplc="6D782904">
      <w:numFmt w:val="decimal"/>
      <w:lvlText w:val=""/>
      <w:lvlJc w:val="left"/>
    </w:lvl>
    <w:lvl w:ilvl="7" w:tplc="DD0CC8EC">
      <w:numFmt w:val="decimal"/>
      <w:lvlText w:val=""/>
      <w:lvlJc w:val="left"/>
    </w:lvl>
    <w:lvl w:ilvl="8" w:tplc="853CC474">
      <w:numFmt w:val="decimal"/>
      <w:lvlText w:val=""/>
      <w:lvlJc w:val="left"/>
    </w:lvl>
  </w:abstractNum>
  <w:abstractNum w:abstractNumId="9" w15:restartNumberingAfterBreak="0">
    <w:nsid w:val="4F8031B2"/>
    <w:multiLevelType w:val="hybridMultilevel"/>
    <w:tmpl w:val="55423F7E"/>
    <w:lvl w:ilvl="0" w:tplc="33A6E3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58F96E">
      <w:numFmt w:val="decimal"/>
      <w:lvlText w:val=""/>
      <w:lvlJc w:val="left"/>
    </w:lvl>
    <w:lvl w:ilvl="2" w:tplc="ACBA01D4">
      <w:numFmt w:val="decimal"/>
      <w:lvlText w:val=""/>
      <w:lvlJc w:val="left"/>
    </w:lvl>
    <w:lvl w:ilvl="3" w:tplc="64824DD8">
      <w:numFmt w:val="decimal"/>
      <w:lvlText w:val=""/>
      <w:lvlJc w:val="left"/>
    </w:lvl>
    <w:lvl w:ilvl="4" w:tplc="E7EE4CF2">
      <w:numFmt w:val="decimal"/>
      <w:lvlText w:val=""/>
      <w:lvlJc w:val="left"/>
    </w:lvl>
    <w:lvl w:ilvl="5" w:tplc="3E84D514">
      <w:numFmt w:val="decimal"/>
      <w:lvlText w:val=""/>
      <w:lvlJc w:val="left"/>
    </w:lvl>
    <w:lvl w:ilvl="6" w:tplc="07F0E90A">
      <w:numFmt w:val="decimal"/>
      <w:lvlText w:val=""/>
      <w:lvlJc w:val="left"/>
    </w:lvl>
    <w:lvl w:ilvl="7" w:tplc="DEDAD83A">
      <w:numFmt w:val="decimal"/>
      <w:lvlText w:val=""/>
      <w:lvlJc w:val="left"/>
    </w:lvl>
    <w:lvl w:ilvl="8" w:tplc="BDF8610A">
      <w:numFmt w:val="decimal"/>
      <w:lvlText w:val=""/>
      <w:lvlJc w:val="left"/>
    </w:lvl>
  </w:abstractNum>
  <w:abstractNum w:abstractNumId="10" w15:restartNumberingAfterBreak="0">
    <w:nsid w:val="516D7700"/>
    <w:multiLevelType w:val="hybridMultilevel"/>
    <w:tmpl w:val="3F9A6D1C"/>
    <w:lvl w:ilvl="0" w:tplc="618E1D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7647DE">
      <w:numFmt w:val="decimal"/>
      <w:lvlText w:val=""/>
      <w:lvlJc w:val="left"/>
    </w:lvl>
    <w:lvl w:ilvl="2" w:tplc="A5228B14">
      <w:numFmt w:val="decimal"/>
      <w:lvlText w:val=""/>
      <w:lvlJc w:val="left"/>
    </w:lvl>
    <w:lvl w:ilvl="3" w:tplc="1CAEB8F0">
      <w:numFmt w:val="decimal"/>
      <w:lvlText w:val=""/>
      <w:lvlJc w:val="left"/>
    </w:lvl>
    <w:lvl w:ilvl="4" w:tplc="769A6920">
      <w:numFmt w:val="decimal"/>
      <w:lvlText w:val=""/>
      <w:lvlJc w:val="left"/>
    </w:lvl>
    <w:lvl w:ilvl="5" w:tplc="6EAA0230">
      <w:numFmt w:val="decimal"/>
      <w:lvlText w:val=""/>
      <w:lvlJc w:val="left"/>
    </w:lvl>
    <w:lvl w:ilvl="6" w:tplc="6A1C1D7E">
      <w:numFmt w:val="decimal"/>
      <w:lvlText w:val=""/>
      <w:lvlJc w:val="left"/>
    </w:lvl>
    <w:lvl w:ilvl="7" w:tplc="DF681212">
      <w:numFmt w:val="decimal"/>
      <w:lvlText w:val=""/>
      <w:lvlJc w:val="left"/>
    </w:lvl>
    <w:lvl w:ilvl="8" w:tplc="930A8726">
      <w:numFmt w:val="decimal"/>
      <w:lvlText w:val=""/>
      <w:lvlJc w:val="left"/>
    </w:lvl>
  </w:abstractNum>
  <w:abstractNum w:abstractNumId="11" w15:restartNumberingAfterBreak="0">
    <w:nsid w:val="5AAC361A"/>
    <w:multiLevelType w:val="hybridMultilevel"/>
    <w:tmpl w:val="90CC700C"/>
    <w:lvl w:ilvl="0" w:tplc="132261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E0331A">
      <w:numFmt w:val="decimal"/>
      <w:lvlText w:val=""/>
      <w:lvlJc w:val="left"/>
    </w:lvl>
    <w:lvl w:ilvl="2" w:tplc="BF1C1AEC">
      <w:numFmt w:val="decimal"/>
      <w:lvlText w:val=""/>
      <w:lvlJc w:val="left"/>
    </w:lvl>
    <w:lvl w:ilvl="3" w:tplc="15BC2872">
      <w:numFmt w:val="decimal"/>
      <w:lvlText w:val=""/>
      <w:lvlJc w:val="left"/>
    </w:lvl>
    <w:lvl w:ilvl="4" w:tplc="0D5CC366">
      <w:numFmt w:val="decimal"/>
      <w:lvlText w:val=""/>
      <w:lvlJc w:val="left"/>
    </w:lvl>
    <w:lvl w:ilvl="5" w:tplc="B40A7322">
      <w:numFmt w:val="decimal"/>
      <w:lvlText w:val=""/>
      <w:lvlJc w:val="left"/>
    </w:lvl>
    <w:lvl w:ilvl="6" w:tplc="70D2AA92">
      <w:numFmt w:val="decimal"/>
      <w:lvlText w:val=""/>
      <w:lvlJc w:val="left"/>
    </w:lvl>
    <w:lvl w:ilvl="7" w:tplc="268AD416">
      <w:numFmt w:val="decimal"/>
      <w:lvlText w:val=""/>
      <w:lvlJc w:val="left"/>
    </w:lvl>
    <w:lvl w:ilvl="8" w:tplc="0F78BA8A">
      <w:numFmt w:val="decimal"/>
      <w:lvlText w:val=""/>
      <w:lvlJc w:val="left"/>
    </w:lvl>
  </w:abstractNum>
  <w:abstractNum w:abstractNumId="12" w15:restartNumberingAfterBreak="0">
    <w:nsid w:val="5B687CA4"/>
    <w:multiLevelType w:val="hybridMultilevel"/>
    <w:tmpl w:val="C602B234"/>
    <w:lvl w:ilvl="0" w:tplc="F8149A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7AF69E">
      <w:numFmt w:val="decimal"/>
      <w:lvlText w:val=""/>
      <w:lvlJc w:val="left"/>
    </w:lvl>
    <w:lvl w:ilvl="2" w:tplc="A03C954E">
      <w:numFmt w:val="decimal"/>
      <w:lvlText w:val=""/>
      <w:lvlJc w:val="left"/>
    </w:lvl>
    <w:lvl w:ilvl="3" w:tplc="520CFE72">
      <w:numFmt w:val="decimal"/>
      <w:lvlText w:val=""/>
      <w:lvlJc w:val="left"/>
    </w:lvl>
    <w:lvl w:ilvl="4" w:tplc="0CE29064">
      <w:numFmt w:val="decimal"/>
      <w:lvlText w:val=""/>
      <w:lvlJc w:val="left"/>
    </w:lvl>
    <w:lvl w:ilvl="5" w:tplc="C1822230">
      <w:numFmt w:val="decimal"/>
      <w:lvlText w:val=""/>
      <w:lvlJc w:val="left"/>
    </w:lvl>
    <w:lvl w:ilvl="6" w:tplc="F490D860">
      <w:numFmt w:val="decimal"/>
      <w:lvlText w:val=""/>
      <w:lvlJc w:val="left"/>
    </w:lvl>
    <w:lvl w:ilvl="7" w:tplc="6792A7C8">
      <w:numFmt w:val="decimal"/>
      <w:lvlText w:val=""/>
      <w:lvlJc w:val="left"/>
    </w:lvl>
    <w:lvl w:ilvl="8" w:tplc="19C29D12">
      <w:numFmt w:val="decimal"/>
      <w:lvlText w:val=""/>
      <w:lvlJc w:val="left"/>
    </w:lvl>
  </w:abstractNum>
  <w:abstractNum w:abstractNumId="13" w15:restartNumberingAfterBreak="0">
    <w:nsid w:val="61A678D2"/>
    <w:multiLevelType w:val="hybridMultilevel"/>
    <w:tmpl w:val="B44679DA"/>
    <w:lvl w:ilvl="0" w:tplc="21483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06F04C">
      <w:numFmt w:val="decimal"/>
      <w:lvlText w:val=""/>
      <w:lvlJc w:val="left"/>
    </w:lvl>
    <w:lvl w:ilvl="2" w:tplc="4A38B716">
      <w:numFmt w:val="decimal"/>
      <w:lvlText w:val=""/>
      <w:lvlJc w:val="left"/>
    </w:lvl>
    <w:lvl w:ilvl="3" w:tplc="41E8D074">
      <w:numFmt w:val="decimal"/>
      <w:lvlText w:val=""/>
      <w:lvlJc w:val="left"/>
    </w:lvl>
    <w:lvl w:ilvl="4" w:tplc="92AAE5D0">
      <w:numFmt w:val="decimal"/>
      <w:lvlText w:val=""/>
      <w:lvlJc w:val="left"/>
    </w:lvl>
    <w:lvl w:ilvl="5" w:tplc="050A8DA8">
      <w:numFmt w:val="decimal"/>
      <w:lvlText w:val=""/>
      <w:lvlJc w:val="left"/>
    </w:lvl>
    <w:lvl w:ilvl="6" w:tplc="E9B451FE">
      <w:numFmt w:val="decimal"/>
      <w:lvlText w:val=""/>
      <w:lvlJc w:val="left"/>
    </w:lvl>
    <w:lvl w:ilvl="7" w:tplc="078858AA">
      <w:numFmt w:val="decimal"/>
      <w:lvlText w:val=""/>
      <w:lvlJc w:val="left"/>
    </w:lvl>
    <w:lvl w:ilvl="8" w:tplc="CC241C9A">
      <w:numFmt w:val="decimal"/>
      <w:lvlText w:val=""/>
      <w:lvlJc w:val="left"/>
    </w:lvl>
  </w:abstractNum>
  <w:abstractNum w:abstractNumId="14" w15:restartNumberingAfterBreak="0">
    <w:nsid w:val="741F15DB"/>
    <w:multiLevelType w:val="hybridMultilevel"/>
    <w:tmpl w:val="4D1A400C"/>
    <w:lvl w:ilvl="0" w:tplc="9B00CA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2C5356">
      <w:numFmt w:val="decimal"/>
      <w:lvlText w:val=""/>
      <w:lvlJc w:val="left"/>
    </w:lvl>
    <w:lvl w:ilvl="2" w:tplc="95DE0F02">
      <w:numFmt w:val="decimal"/>
      <w:lvlText w:val=""/>
      <w:lvlJc w:val="left"/>
    </w:lvl>
    <w:lvl w:ilvl="3" w:tplc="33269538">
      <w:numFmt w:val="decimal"/>
      <w:lvlText w:val=""/>
      <w:lvlJc w:val="left"/>
    </w:lvl>
    <w:lvl w:ilvl="4" w:tplc="27E60054">
      <w:numFmt w:val="decimal"/>
      <w:lvlText w:val=""/>
      <w:lvlJc w:val="left"/>
    </w:lvl>
    <w:lvl w:ilvl="5" w:tplc="DC38D5A8">
      <w:numFmt w:val="decimal"/>
      <w:lvlText w:val=""/>
      <w:lvlJc w:val="left"/>
    </w:lvl>
    <w:lvl w:ilvl="6" w:tplc="389C065A">
      <w:numFmt w:val="decimal"/>
      <w:lvlText w:val=""/>
      <w:lvlJc w:val="left"/>
    </w:lvl>
    <w:lvl w:ilvl="7" w:tplc="04BE4982">
      <w:numFmt w:val="decimal"/>
      <w:lvlText w:val=""/>
      <w:lvlJc w:val="left"/>
    </w:lvl>
    <w:lvl w:ilvl="8" w:tplc="753AB2CA">
      <w:numFmt w:val="decimal"/>
      <w:lvlText w:val=""/>
      <w:lvlJc w:val="left"/>
    </w:lvl>
  </w:abstractNum>
  <w:abstractNum w:abstractNumId="15" w15:restartNumberingAfterBreak="0">
    <w:nsid w:val="773F7D84"/>
    <w:multiLevelType w:val="hybridMultilevel"/>
    <w:tmpl w:val="0996FB7C"/>
    <w:lvl w:ilvl="0" w:tplc="6A34B8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64346C">
      <w:numFmt w:val="decimal"/>
      <w:lvlText w:val=""/>
      <w:lvlJc w:val="left"/>
    </w:lvl>
    <w:lvl w:ilvl="2" w:tplc="7C0425B0">
      <w:numFmt w:val="decimal"/>
      <w:lvlText w:val=""/>
      <w:lvlJc w:val="left"/>
    </w:lvl>
    <w:lvl w:ilvl="3" w:tplc="1D2EAEF2">
      <w:numFmt w:val="decimal"/>
      <w:lvlText w:val=""/>
      <w:lvlJc w:val="left"/>
    </w:lvl>
    <w:lvl w:ilvl="4" w:tplc="245E6FC0">
      <w:numFmt w:val="decimal"/>
      <w:lvlText w:val=""/>
      <w:lvlJc w:val="left"/>
    </w:lvl>
    <w:lvl w:ilvl="5" w:tplc="B98CCC98">
      <w:numFmt w:val="decimal"/>
      <w:lvlText w:val=""/>
      <w:lvlJc w:val="left"/>
    </w:lvl>
    <w:lvl w:ilvl="6" w:tplc="8D3CAE78">
      <w:numFmt w:val="decimal"/>
      <w:lvlText w:val=""/>
      <w:lvlJc w:val="left"/>
    </w:lvl>
    <w:lvl w:ilvl="7" w:tplc="D4A65E28">
      <w:numFmt w:val="decimal"/>
      <w:lvlText w:val=""/>
      <w:lvlJc w:val="left"/>
    </w:lvl>
    <w:lvl w:ilvl="8" w:tplc="A60C9082">
      <w:numFmt w:val="decimal"/>
      <w:lvlText w:val=""/>
      <w:lvlJc w:val="left"/>
    </w:lvl>
  </w:abstractNum>
  <w:num w:numId="1" w16cid:durableId="1079405177">
    <w:abstractNumId w:val="1"/>
  </w:num>
  <w:num w:numId="2" w16cid:durableId="477111806">
    <w:abstractNumId w:val="10"/>
  </w:num>
  <w:num w:numId="3" w16cid:durableId="136804908">
    <w:abstractNumId w:val="13"/>
  </w:num>
  <w:num w:numId="4" w16cid:durableId="1983653122">
    <w:abstractNumId w:val="2"/>
  </w:num>
  <w:num w:numId="5" w16cid:durableId="155922004">
    <w:abstractNumId w:val="9"/>
  </w:num>
  <w:num w:numId="6" w16cid:durableId="506990064">
    <w:abstractNumId w:val="8"/>
  </w:num>
  <w:num w:numId="7" w16cid:durableId="1266578346">
    <w:abstractNumId w:val="12"/>
  </w:num>
  <w:num w:numId="8" w16cid:durableId="1199272825">
    <w:abstractNumId w:val="7"/>
  </w:num>
  <w:num w:numId="9" w16cid:durableId="755203547">
    <w:abstractNumId w:val="15"/>
  </w:num>
  <w:num w:numId="10" w16cid:durableId="1591694221">
    <w:abstractNumId w:val="4"/>
  </w:num>
  <w:num w:numId="11" w16cid:durableId="1481387781">
    <w:abstractNumId w:val="3"/>
  </w:num>
  <w:num w:numId="12" w16cid:durableId="706565513">
    <w:abstractNumId w:val="11"/>
  </w:num>
  <w:num w:numId="13" w16cid:durableId="326593112">
    <w:abstractNumId w:val="0"/>
  </w:num>
  <w:num w:numId="14" w16cid:durableId="118038818">
    <w:abstractNumId w:val="6"/>
  </w:num>
  <w:num w:numId="15" w16cid:durableId="1619991313">
    <w:abstractNumId w:val="14"/>
  </w:num>
  <w:num w:numId="16" w16cid:durableId="1544749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D33"/>
    <w:rsid w:val="006B6E45"/>
    <w:rsid w:val="00951D33"/>
    <w:rsid w:val="00AC23F9"/>
    <w:rsid w:val="00DD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B3C9B4A"/>
  <w15:docId w15:val="{F5769B00-5A5E-44E8-A78C-CBC30D24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6B6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Manas Purwar</cp:lastModifiedBy>
  <cp:revision>2</cp:revision>
  <dcterms:created xsi:type="dcterms:W3CDTF">2026-03-19T21:48:00Z</dcterms:created>
  <dcterms:modified xsi:type="dcterms:W3CDTF">2026-03-19T21:48:00Z</dcterms:modified>
</cp:coreProperties>
</file>