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rPr>
          <w:b/>
        </w:rPr>
        <w:t>GREENOPS VERIFY  |  TEAM BRIEF</w:t>
      </w:r>
    </w:p>
    <w:p>
      <w:pPr>
        <w:pStyle w:val="Caption"/>
      </w:pPr>
      <w:r>
        <w:rPr>
          <w:b/>
          <w:color w:val="126B54"/>
        </w:rPr>
        <w:t>TEAM BRIEF / 01</w:t>
      </w:r>
    </w:p>
    <w:p>
      <w:bookmarkStart w:id="101" w:name="section_101"/>
      <w:pPr>
        <w:pStyle w:val="Heading1"/>
      </w:pPr>
      <w:r>
        <w:t>One product. Two tested ways to reduce waste.</w:t>
      </w:r>
      <w:bookmarkEnd w:id="101"/>
    </w:p>
    <w:p>
      <w:r>
        <w:rPr>
          <w:b/>
          <w:sz w:val="24"/>
        </w:rPr>
        <w:t>Keep GreenOps at the centre: audit cloud resources, forecast demand, compare cost and carbon, then approve and verify a bounded change.</w:t>
      </w:r>
    </w:p>
    <w:p>
      <w:r>
        <w:rPr>
          <w:b w:val="0"/>
        </w:rPr>
        <w:t>Working title: GreenOps Verify. Add only one SpendProof-inspired feature: an AI Efficiency Lab that checks whether a support workflow can use fewer unnecessary calls or less irrelevant context without losing required behaviour. It shares the same evidence, approval and verification flow; it is not a separate subscription product.</w:t>
      </w:r>
    </w:p>
    <w:p>
      <w:pPr>
        <w:pStyle w:val="Heading2"/>
      </w:pPr>
      <w:r>
        <w:t>The user and the promise</w:t>
      </w:r>
    </w:p>
    <w:p>
      <w:r>
        <w:rPr>
          <w:b w:val="0"/>
        </w:rPr>
        <w:t>User: an engineering lead running an AI-enabled support service on GCP. Their question: “Which changes should we make this week to reduce waste while preserving our workload and support-policy requirements?” The output is an evidence-backed change proposal, trial results, a scoped approval and a verified result—not just advice.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tblHeader/>
          <w:cantSplit/>
        </w:trPr>
        <w:tc>
          <w:tcPr>
            <w:tcW w:type="dxa" w:w="2880"/>
            <w:shd w:fill="126B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Retain from GreenOps</w:t>
            </w:r>
          </w:p>
        </w:tc>
        <w:tc>
          <w:tcPr>
            <w:tcW w:type="dxa" w:w="6624"/>
            <w:shd w:fill="126B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Build as the new contribution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Cloud audit and recommendations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Cross-source evidence through Zetaris, with stable IDs and timestamps.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Forecasts and impact comparisons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Target-capacity checks, repeatable workload trials, explicit cost/carbon assumptions.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Execution and reporting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Approval enforced in code, fresh-state checks, read-back and recovery status.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Agent coordination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A critic sends failed plans back for revision; Meterless preserves tested outcomes.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Environmental purpose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Keep carbon estimates visible and scoped. Never convert AI token counts directly into CO2e.</w:t>
            </w:r>
          </w:p>
        </w:tc>
      </w:tr>
    </w:tbl>
    <w:p>
      <w:pPr>
        <w:spacing w:after="0" w:before="0" w:line="84" w:lineRule="auto"/>
      </w:pPr>
    </w:p>
    <w:p>
      <w:pPr>
        <w:pStyle w:val="Heading2"/>
      </w:pPr>
      <w:r>
        <w:t>The demonstration in plain English</w:t>
      </w:r>
    </w:p>
    <w:p>
      <w:r>
        <w:rPr>
          <w:b w:val="0"/>
        </w:rPr>
        <w:t>A worker looks idle on average. The agent proposes shrinking it, but the critic finds a peak workload that will not fit and rejects that plan. The agent investigates a different cloud candidate. In the AI lab, aggressive context trimming misses a premium-return rule, so it too is rejected. A revised candidate is tested, approved in the sandbox and verified. After restart, Meterless recalls the rejected experiment; a new policy version triggers reevaluation.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90"/>
            <w:shd w:fill="EDF6F1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126B54"/>
                <w:sz w:val="20"/>
              </w:rPr>
              <w:t>No guaranteed savings, no zero-downtime claim, no fake sponsor integration. “No acceptable change found” is a valid outcome when the tests do not pass.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Caption"/>
      </w:pPr>
      <w:r>
        <w:rPr>
          <w:b/>
          <w:color w:val="126B54"/>
        </w:rPr>
        <w:t>TEAM BRIEF / 02</w:t>
      </w:r>
    </w:p>
    <w:p>
      <w:bookmarkStart w:id="102" w:name="section_102"/>
      <w:pPr>
        <w:pStyle w:val="Heading1"/>
      </w:pPr>
      <w:r>
        <w:t>Keep the stack small and the sponsors essential</w:t>
      </w:r>
      <w:bookmarkEnd w:id="10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454557"/>
            <wp:docPr id="1" name="Picture 1" descr="Proposed architecture: three sources feed Zetaris; an ADK agent loop recalls Meterless memory, runs cloud and AI trials, then uses human approval and a guarded execu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545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200"/>
      </w:tblGrid>
      <w:tr>
        <w:trPr>
          <w:tblHeader/>
          <w:cantSplit/>
        </w:trPr>
        <w:tc>
          <w:tcPr>
            <w:tcW w:type="dxa" w:w="2304"/>
            <w:shd w:fill="126B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200"/>
            <w:shd w:fill="126B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Build decision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Python + Google ADK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Retain the base approach. Four meaningful roles: coordinator, investigator, optimizer and critic.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Streamlit + FastAPI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One interface with review queue, candidate comparison, evidence drawer and approve/verify controls.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Zetaris — required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Read-only investigation across BigQuery cloud records, PostgreSQL AI outcomes and a supported file source. At least two physical sources must actually work.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Meterless — required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TypeScript H-MEM reference behind a private sidecar. Persist rejected trials, verified corrections and their provenance. Action authority stays in PostgreSQL.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Cursor + NVIDIA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Use Cursor during development. Test a NVIDIA-hosted model through a supported adapter; pin the working dependency set.</w:t>
            </w:r>
          </w:p>
        </w:tc>
      </w:tr>
    </w:tbl>
    <w:p>
      <w:pPr>
        <w:spacing w:after="0" w:before="0" w:line="84" w:lineRule="auto"/>
      </w:pPr>
    </w:p>
    <w:p>
      <w:r>
        <w:rPr>
          <w:b w:val="0"/>
        </w:rPr>
        <w:t>The guide requires Zetaris, Meterless and Cursor, with NVIDIA wherever it contributes. H-MEM is a reference implementation/specification, not a billing or rollback service. Follow the supplied sponsor resources; do not invent vendor SDK calls. [H1 §8; M1–M2; Z1–Z3]</w:t>
      </w:r>
    </w:p>
    <w:p>
      <w:r>
        <w:br w:type="page"/>
      </w:r>
    </w:p>
    <w:p>
      <w:pPr>
        <w:pStyle w:val="Caption"/>
      </w:pPr>
      <w:r>
        <w:rPr>
          <w:b/>
          <w:color w:val="126B54"/>
        </w:rPr>
        <w:t>TEAM BRIEF / 03</w:t>
      </w:r>
    </w:p>
    <w:p>
      <w:bookmarkStart w:id="103" w:name="section_103"/>
      <w:pPr>
        <w:pStyle w:val="Heading1"/>
      </w:pPr>
      <w:r>
        <w:t>Six days: build the proof before the polish</w:t>
      </w:r>
      <w:bookmarkEnd w:id="103"/>
    </w:p>
    <w:p>
      <w:r>
        <w:rPr>
          <w:b/>
          <w:sz w:val="24"/>
        </w:rPr>
        <w:t>Planning assumption: three builders with web/API experience. For two builders, remove the second model, automatic slides and live cloud resize first.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rPr>
          <w:tblHeader/>
          <w:cantSplit/>
        </w:trPr>
        <w:tc>
          <w:tcPr>
            <w:tcW w:type="dxa" w:w="2592"/>
            <w:shd w:fill="126B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 / owner</w:t>
            </w:r>
          </w:p>
        </w:tc>
        <w:tc>
          <w:tcPr>
            <w:tcW w:type="dxa" w:w="6912"/>
            <w:shd w:fill="126B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Deliverable that must work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22 Oct | Integration + agent leads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Real Zetaris query; real Meterless memory survives restart; one model/tool call; a basic investigation.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23 Oct | Agent + trial leads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Cloud candidate, deterministic capacity/impact checks and a critic-driven revision or justified rejection.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24 Oct | Trial + integration leads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One AI workflow with actual traces, independent checks and development/held-out separation.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25 Oct | API + test leads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Human approval bound to plan/version; sandbox execution and read-back; stale and duplicate-action tests.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26 Oct | Whole team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Feature freeze; acceptance suite; clean-install test; deck and 1–4 minute video prepared.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27 Oct | Submission owner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Final links, provenance, credentials and limitations checked. Internal target 18:00 UTC; official guide deadline 23:45 UTC.</w:t>
            </w:r>
          </w:p>
        </w:tc>
      </w:tr>
    </w:tbl>
    <w:p>
      <w:pPr>
        <w:spacing w:after="0" w:before="0" w:line="84" w:lineRule="auto"/>
      </w:pPr>
    </w:p>
    <w:p>
      <w:pPr>
        <w:pStyle w:val="Heading2"/>
      </w:pPr>
      <w:r>
        <w:t>Day-one go/no-go gate</w:t>
      </w:r>
    </w:p>
    <w:p>
      <w:r>
        <w:rPr>
          <w:b w:val="0"/>
        </w:rPr>
        <w:t>Do not spend two days polishing a disconnected frontend. First establish sponsor workspace access, connector reachability, model/tool compatibility and a persistent memory service. A remote Zetaris workspace cannot automatically reach a laptop database. Use an approved reachable sample source or request support immediately.</w:t>
      </w:r>
    </w:p>
    <w:p>
      <w:pPr>
        <w:pStyle w:val="Heading2"/>
      </w:pPr>
      <w:r>
        <w:t>Minimum scope</w:t>
      </w:r>
    </w:p>
    <w:p>
      <w:r>
        <w:rPr>
          <w:b w:val="0"/>
        </w:rPr>
        <w:t>GCP only; six small VM histories; one service; up to three candidate plans per path (six total); one sandbox action; one AI workflow. Prefer an owned disposable GCP trial when permissions, spend controls and compatibility are confirmed. Otherwise execute a real local worker/configuration change, clearly labelled as a local analogue—not a GCP resize.</w:t>
      </w:r>
    </w:p>
    <w:p>
      <w:pPr>
        <w:pStyle w:val="Heading2"/>
      </w:pPr>
      <w:r>
        <w:t>Two questions to resolve before code reuse</w:t>
      </w:r>
    </w:p>
    <w:p>
      <w:r>
        <w:rPr>
          <w:b w:val="0"/>
        </w:rPr>
        <w:t>No licence grant was found in the inspected GreenOps tree or README. Obtain permission covering reuse and redistribution before copying code or assets; attribution alone is not permission. Ask organizers whether a derivative of another team’s previously winning project is eligible and whether it belongs in Wildcard. Until clarified, independently implement the concept and plan for Track 02. [R1; L1; H1 §§4, 9]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90"/>
            <w:shd w:fill="EDF6F1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126B54"/>
                <w:sz w:val="20"/>
              </w:rPr>
              <w:t>The supplied guides and public page disagree on registration time and judging start. Use the earlier registration cutoff (22 Oct, 23:45 UTC), be demo-ready on 26 Oct, and confirm the controlling schedule on HackOS. Submission agrees: 27 Oct, 23:45 UTC / 28 Oct, 05:15 IST. [H1; E1]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Caption"/>
      </w:pPr>
      <w:r>
        <w:rPr>
          <w:b/>
          <w:color w:val="126B54"/>
        </w:rPr>
        <w:t>TEAM BRIEF / 04</w:t>
      </w:r>
    </w:p>
    <w:p>
      <w:bookmarkStart w:id="104" w:name="section_104"/>
      <w:pPr>
        <w:pStyle w:val="Heading1"/>
      </w:pPr>
      <w:r>
        <w:t>What the judges should see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7848"/>
      </w:tblGrid>
      <w:tr>
        <w:trPr>
          <w:tblHeader/>
          <w:cantSplit/>
        </w:trPr>
        <w:tc>
          <w:tcPr>
            <w:tcW w:type="dxa" w:w="1656"/>
            <w:shd w:fill="126B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7848"/>
            <w:shd w:fill="126B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Show this, not a promise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0:00–0:25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The problem: a cheaper change can break a cloud service or an AI answer. Identify the selected service and workload requirements.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0:25–0:55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A real Zetaris-backed query and evidence receipt from separate sources.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0:55–1:35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A rejected cloud candidate with its peak-capacity evidence, followed by a revised trial.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1:35–2:10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The AI lab catches a missing policy exception and retests a revised configuration.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2:10–2:55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Human approval, fresh-state check, scoped sandbox action and read-back/health verification.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2:55–3:30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9"/>
          </w:tcPr>
          <w:p>
            <w:pPr>
              <w:spacing w:after="0" w:line="247" w:lineRule="auto"/>
            </w:pPr>
            <w:r>
              <w:rPr>
                <w:sz w:val="20"/>
              </w:rPr>
              <w:t>Restart and recall through Meterless; a changed policy makes old validation inapplicable.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3:30–3:55</w:t>
            </w:r>
          </w:p>
        </w:tc>
        <w:tc>
          <w:tcPr>
            <w:tcW w:type="dxa" w:w="78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DF6F1"/>
          </w:tcPr>
          <w:p>
            <w:pPr>
              <w:spacing w:after="0" w:line="247" w:lineRule="auto"/>
            </w:pPr>
            <w:r>
              <w:rPr>
                <w:sz w:val="20"/>
              </w:rPr>
              <w:t>Actual test results, estimated carbon coverage, limitations and what was newly built.</w:t>
            </w:r>
          </w:p>
        </w:tc>
      </w:tr>
    </w:tbl>
    <w:p>
      <w:pPr>
        <w:spacing w:after="0" w:before="0" w:line="84" w:lineRule="auto"/>
      </w:pPr>
    </w:p>
    <w:p>
      <w:pPr>
        <w:pStyle w:val="Heading2"/>
      </w:pPr>
      <w:r>
        <w:t>The submission package</w:t>
      </w:r>
    </w:p>
    <w:p>
      <w:r>
        <w:rPr>
          <w:b w:val="0"/>
        </w:rPr>
        <w:t>Provide the working repository and clean setup instructions, a 1–4 minute video, slide deck and an explanation of Zetaris, Meterless, Cursor and NVIDIA use. Declare original inspiration, permitted reused components, pre-event plans/data and the code built during the eligible window. The guide’s rubric is Impact 30, Technical 20, Innovation 15, Demo 15, Product/UX 10 and Sponsor Tech 10. [H1 §§9, 12]</w:t>
      </w:r>
    </w:p>
    <w:p>
      <w:pPr>
        <w:pStyle w:val="Heading2"/>
      </w:pPr>
      <w:r>
        <w:t>Evidence to publish</w:t>
      </w:r>
    </w:p>
    <w:p>
      <w:r>
        <w:rPr>
          <w:b w:val="0"/>
        </w:rPr>
        <w:t>Publish candidate decisions and failures, required-check results by case type, measured trial cost, cost per accepted task, latency, source freshness, memory-recall behaviour, stale-approval blocks and duplicate-action handling. Separate measured observations, projected costs and carbon estimates. A small synthetic evaluation does not prove production reliability.</w:t>
      </w:r>
    </w:p>
    <w:p>
      <w:pPr>
        <w:pStyle w:val="Heading2"/>
      </w:pPr>
      <w:r>
        <w:t>Read the detailed companion documents</w:t>
      </w:r>
    </w:p>
    <w:p>
      <w:r>
        <w:rPr>
          <w:b w:val="0"/>
        </w:rPr>
        <w:t>The 28-page Complete Blueprint explains the design and cites 28 sources/materials. The Developer Handoff contains module contracts, the implementation backlog, test cases and Cursor instructions. This Team Brief is an alignment document, not a claim that the product is already built.</w:t>
      </w:r>
    </w:p>
    <w:p>
      <w:pPr>
        <w:pStyle w:val="Heading2"/>
      </w:pPr>
      <w:r>
        <w:t>Key source links</w:t>
      </w:r>
    </w:p>
    <w:p>
      <w:pPr>
        <w:spacing w:after="40"/>
      </w:pPr>
      <w:r>
        <w:rPr>
          <w:b/>
          <w:sz w:val="18"/>
        </w:rPr>
        <w:t xml:space="preserve">[LINK] </w:t>
      </w:r>
      <w:hyperlink r:id="rId12">
        <w:r>
          <w:rPr>
            <w:color w:val="126B54"/>
            <w:u w:val="single"/>
          </w:rPr>
          <w:t>Event page</w:t>
        </w:r>
      </w:hyperlink>
    </w:p>
    <w:p>
      <w:pPr>
        <w:spacing w:after="140"/>
      </w:pPr>
    </w:p>
    <w:p>
      <w:pPr>
        <w:spacing w:after="40"/>
      </w:pPr>
      <w:r>
        <w:rPr>
          <w:b/>
          <w:sz w:val="18"/>
        </w:rPr>
        <w:t xml:space="preserve">[LINK] </w:t>
      </w:r>
      <w:hyperlink r:id="rId13">
        <w:r>
          <w:rPr>
            <w:color w:val="126B54"/>
            <w:u w:val="single"/>
          </w:rPr>
          <w:t>Original GreenOps repository</w:t>
        </w:r>
      </w:hyperlink>
    </w:p>
    <w:p>
      <w:pPr>
        <w:spacing w:after="140"/>
      </w:pPr>
    </w:p>
    <w:p>
      <w:pPr>
        <w:spacing w:after="40"/>
      </w:pPr>
      <w:r>
        <w:rPr>
          <w:b/>
          <w:sz w:val="18"/>
        </w:rPr>
        <w:t xml:space="preserve">[LINK] </w:t>
      </w:r>
      <w:hyperlink r:id="rId14">
        <w:r>
          <w:rPr>
            <w:color w:val="126B54"/>
            <w:u w:val="single"/>
          </w:rPr>
          <w:t>Meterless H-MEM reference</w:t>
        </w:r>
      </w:hyperlink>
    </w:p>
    <w:p>
      <w:pPr>
        <w:spacing w:after="140"/>
      </w:pPr>
    </w:p>
    <w:p>
      <w:pPr>
        <w:spacing w:after="40"/>
      </w:pPr>
      <w:r>
        <w:rPr>
          <w:b/>
          <w:sz w:val="18"/>
        </w:rPr>
        <w:t xml:space="preserve">[LINK] </w:t>
      </w:r>
      <w:hyperlink r:id="rId15">
        <w:r>
          <w:rPr>
            <w:color w:val="126B54"/>
            <w:u w:val="single"/>
          </w:rPr>
          <w:t>Zetaris connector documentation</w:t>
        </w:r>
      </w:hyperlink>
    </w:p>
    <w:p>
      <w:pPr>
        <w:spacing w:after="140"/>
      </w:pPr>
    </w:p>
    <w:sectPr w:rsidR="00FC693F" w:rsidRPr="0006063C" w:rsidSect="00034616">
      <w:headerReference w:type="default" r:id="rId9"/>
      <w:footerReference w:type="default" r:id="rId10"/>
      <w:pgSz w:w="11952" w:h="16848"/>
      <w:pgMar w:top="950" w:right="1181" w:bottom="936" w:left="1181" w:header="360" w:footer="38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TEAM BRIEF  •  16 OCT 2026</w:t>
    </w:r>
    <w:r>
      <w:t xml:space="preserve">        PAGE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GREENOPS VERIFY   /   OPEN AGENT HACKATHON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1634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63438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26B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6B54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Calibri" w:hAnsi="Calibri"/>
      <w:i/>
      <w:iCs/>
      <w:color w:val="53656A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53656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hackathon.genai.works/event/open-agent-hackathon-2026" TargetMode="External"/><Relationship Id="rId13" Type="http://schemas.openxmlformats.org/officeDocument/2006/relationships/hyperlink" Target="https://github.com/niksm7/GreenOps" TargetMode="External"/><Relationship Id="rId14" Type="http://schemas.openxmlformats.org/officeDocument/2006/relationships/hyperlink" Target="https://github.com/Meterless/Meterless/tree/main/engines/hmem" TargetMode="External"/><Relationship Id="rId15" Type="http://schemas.openxmlformats.org/officeDocument/2006/relationships/hyperlink" Target="https://kbase.zetaris.com/knowledge/conn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GreenOps Verify — Team Brief</dc:title>
  <dc:subject>GreenOps-inspired hackathon project plan</dc:subject>
  <dc:creator/>
  <cp:keywords>GreenOps, Zetaris, Meterless, Open Agent Hackathon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