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264" w:lineRule="auto"/>
        <w:jc w:val="left"/>
      </w:pPr>
      <w:r>
        <w:rPr>
          <w:rFonts w:ascii="Calibri" w:hAnsi="Calibri"/>
          <w:b/>
          <w:i w:val="0"/>
          <w:color w:val="B07B20"/>
          <w:sz w:val="20"/>
        </w:rPr>
        <w:t>MINI CASE STUDY</w:t>
      </w:r>
    </w:p>
    <w:p>
      <w:pPr>
        <w:keepNext/>
        <w:spacing w:before="0" w:after="60" w:line="240" w:lineRule="auto"/>
        <w:jc w:val="left"/>
      </w:pPr>
      <w:r>
        <w:rPr>
          <w:rFonts w:ascii="Calibri" w:hAnsi="Calibri"/>
          <w:b/>
          <w:i w:val="0"/>
          <w:color w:val="173B57"/>
          <w:sz w:val="54"/>
        </w:rPr>
        <w:t>From 50% to 65% Alignment</w:t>
      </w:r>
    </w:p>
    <w:p>
      <w:pPr>
        <w:keepNext/>
        <w:spacing w:before="0" w:after="320" w:line="252" w:lineRule="auto"/>
        <w:jc w:val="left"/>
      </w:pPr>
      <w:r>
        <w:rPr>
          <w:rFonts w:ascii="Calibri" w:hAnsi="Calibri"/>
          <w:b w:val="0"/>
          <w:i w:val="0"/>
          <w:color w:val="5B6770"/>
          <w:sz w:val="26"/>
        </w:rPr>
        <w:t>How successive model and prompt iterations improved the reliability of qualitative tagging</w:t>
      </w:r>
    </w:p>
    <w:p>
      <w:pPr>
        <w:keepNext w:val="0"/>
        <w:spacing w:before="0" w:after="80" w:line="269" w:lineRule="auto"/>
        <w:jc w:val="center"/>
      </w:pPr>
      <w:r>
        <w:rPr>
          <w:rFonts w:ascii="Calibri" w:hAnsi="Calibri"/>
          <w:b w:val="0"/>
          <w:i/>
          <w:color w:val="5B6770"/>
          <w:sz w:val="28"/>
        </w:rPr>
        <w:t>“The same instructions and source material should produce the same result.”</w:t>
      </w:r>
    </w:p>
    <w:p>
      <w:pPr>
        <w:keepNext w:val="0"/>
        <w:spacing w:before="0" w:after="320" w:line="264" w:lineRule="auto"/>
        <w:jc w:val="center"/>
      </w:pPr>
      <w:r>
        <w:rPr>
          <w:rFonts w:ascii="Calibri" w:hAnsi="Calibri"/>
          <w:b/>
          <w:i w:val="0"/>
          <w:color w:val="B07B20"/>
          <w:sz w:val="19"/>
        </w:rPr>
        <w:t>The evaluation began by testing that assumption—and measuring where it broke down.</w:t>
      </w:r>
    </w:p>
    <w:tbl>
      <w:tblPr>
        <w:tblW w:type="dxa" w:w="9360"/>
        <w:jc w:val="left"/>
        <w:tblLayout w:type="fixed"/>
        <w:tblLook w:firstColumn="1" w:firstRow="1" w:lastColumn="0" w:lastRow="0" w:noHBand="0" w:noVBand="1" w:val="04A0"/>
        <w:tblInd w:w="12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blGrid>
        <w:gridCol w:w="3120"/>
        <w:gridCol w:w="3120"/>
        <w:gridCol w:w="3120"/>
      </w:tblGrid>
      <w:tr>
        <w:trPr>
          <w:tblHeader w:val="true"/>
        </w:trPr>
        <w:tc>
          <w:tcPr>
            <w:tcW w:type="dxa" w:w="3120"/>
            <w:shd w:fill="E8F4F2"/>
            <w:vAlign w:val="center"/>
            <w:tcMar>
              <w:top w:w="70" w:type="dxa"/>
              <w:start w:w="120" w:type="dxa"/>
              <w:bottom w:w="70" w:type="dxa"/>
              <w:end w:w="120" w:type="dxa"/>
            </w:tcMar>
          </w:tcPr>
          <w:p>
            <w:pPr>
              <w:jc w:val="center"/>
            </w:pPr>
            <w:r>
              <w:rPr>
                <w:rFonts w:ascii="Calibri" w:hAnsi="Calibri"/>
                <w:b/>
                <w:color w:val="2E7D5B"/>
                <w:sz w:val="36"/>
              </w:rPr>
              <w:t>+15 pp</w:t>
            </w:r>
          </w:p>
        </w:tc>
        <w:tc>
          <w:tcPr>
            <w:tcW w:type="dxa" w:w="3120"/>
            <w:shd w:fill="E8F4F2"/>
            <w:vAlign w:val="center"/>
            <w:tcMar>
              <w:top w:w="70" w:type="dxa"/>
              <w:start w:w="120" w:type="dxa"/>
              <w:bottom w:w="70" w:type="dxa"/>
              <w:end w:w="120" w:type="dxa"/>
            </w:tcMar>
          </w:tcPr>
          <w:p>
            <w:pPr>
              <w:jc w:val="center"/>
            </w:pPr>
            <w:r>
              <w:rPr>
                <w:rFonts w:ascii="Calibri" w:hAnsi="Calibri"/>
                <w:b/>
                <w:color w:val="2E7D5B"/>
                <w:sz w:val="36"/>
              </w:rPr>
              <w:t>-43 pp</w:t>
            </w:r>
          </w:p>
        </w:tc>
        <w:tc>
          <w:tcPr>
            <w:tcW w:type="dxa" w:w="3120"/>
            <w:shd w:fill="E8F0F7"/>
            <w:vAlign w:val="center"/>
            <w:tcMar>
              <w:top w:w="70" w:type="dxa"/>
              <w:start w:w="120" w:type="dxa"/>
              <w:bottom w:w="70" w:type="dxa"/>
              <w:end w:w="120" w:type="dxa"/>
            </w:tcMar>
          </w:tcPr>
          <w:p>
            <w:pPr>
              <w:jc w:val="center"/>
            </w:pPr>
            <w:r>
              <w:rPr>
                <w:rFonts w:ascii="Calibri" w:hAnsi="Calibri"/>
                <w:b/>
                <w:color w:val="2E74B5"/>
                <w:sz w:val="36"/>
              </w:rPr>
              <w:t>880</w:t>
            </w:r>
          </w:p>
        </w:tc>
      </w:tr>
      <w:tr>
        <w:tc>
          <w:tcPr>
            <w:tcW w:type="dxa" w:w="3120"/>
            <w:shd w:fill="E8F4F2"/>
            <w:vAlign w:val="center"/>
            <w:tcMar>
              <w:top w:w="70" w:type="dxa"/>
              <w:start w:w="120" w:type="dxa"/>
              <w:bottom w:w="70" w:type="dxa"/>
              <w:end w:w="120" w:type="dxa"/>
            </w:tcMar>
          </w:tcPr>
          <w:p>
            <w:pPr>
              <w:jc w:val="center"/>
            </w:pPr>
            <w:r>
              <w:rPr>
                <w:rFonts w:ascii="Calibri" w:hAnsi="Calibri"/>
                <w:b/>
                <w:color w:val="5B6770"/>
                <w:sz w:val="17"/>
              </w:rPr>
              <w:t>repeat-run alignment</w:t>
            </w:r>
          </w:p>
        </w:tc>
        <w:tc>
          <w:tcPr>
            <w:tcW w:type="dxa" w:w="3120"/>
            <w:shd w:fill="E8F4F2"/>
            <w:vAlign w:val="center"/>
            <w:tcMar>
              <w:top w:w="70" w:type="dxa"/>
              <w:start w:w="120" w:type="dxa"/>
              <w:bottom w:w="70" w:type="dxa"/>
              <w:end w:w="120" w:type="dxa"/>
            </w:tcMar>
          </w:tcPr>
          <w:p>
            <w:pPr>
              <w:jc w:val="center"/>
            </w:pPr>
            <w:r>
              <w:rPr>
                <w:rFonts w:ascii="Calibri" w:hAnsi="Calibri"/>
                <w:b/>
                <w:color w:val="5B6770"/>
                <w:sz w:val="17"/>
              </w:rPr>
              <w:t>score concentration</w:t>
            </w:r>
          </w:p>
        </w:tc>
        <w:tc>
          <w:tcPr>
            <w:tcW w:type="dxa" w:w="3120"/>
            <w:shd w:fill="E8F0F7"/>
            <w:vAlign w:val="center"/>
            <w:tcMar>
              <w:top w:w="70" w:type="dxa"/>
              <w:start w:w="120" w:type="dxa"/>
              <w:bottom w:w="70" w:type="dxa"/>
              <w:end w:w="120" w:type="dxa"/>
            </w:tcMar>
          </w:tcPr>
          <w:p>
            <w:pPr>
              <w:jc w:val="center"/>
            </w:pPr>
            <w:r>
              <w:rPr>
                <w:rFonts w:ascii="Calibri" w:hAnsi="Calibri"/>
                <w:b/>
                <w:color w:val="5B6770"/>
                <w:sz w:val="17"/>
              </w:rPr>
              <w:t>modules in scale target</w:t>
            </w:r>
          </w:p>
        </w:tc>
      </w:tr>
    </w:tbl>
    <w:p>
      <w:pPr>
        <w:pStyle w:val="Heading1"/>
        <w:keepNext/>
      </w:pPr>
      <w:r>
        <w:t>Executive summary</w:t>
      </w:r>
    </w:p>
    <w:p>
      <w:pPr>
        <w:spacing w:before="0" w:after="160" w:line="264" w:lineRule="auto"/>
        <w:jc w:val="left"/>
      </w:pPr>
      <w:r>
        <w:rPr>
          <w:rFonts w:ascii="Calibri" w:hAnsi="Calibri"/>
          <w:color w:val="202A33"/>
          <w:sz w:val="22"/>
        </w:rPr>
        <w:t xml:space="preserve">The project compared multiple OpenAI models for a demanding qualitative-tagging task: </w:t>
      </w:r>
      <w:r>
        <w:rPr>
          <w:rFonts w:ascii="Calibri" w:hAnsi="Calibri"/>
          <w:b/>
          <w:color w:val="202A33"/>
          <w:sz w:val="22"/>
        </w:rPr>
        <w:t>apply a fixed rubric to hundreds of research modules without drifting, over-interpreting, or collapsing into repetitive scores.</w:t>
      </w:r>
      <w:r>
        <w:rPr>
          <w:rFonts w:ascii="Calibri" w:hAnsi="Calibri"/>
          <w:color w:val="202A33"/>
          <w:sz w:val="22"/>
        </w:rPr>
        <w:t xml:space="preserve"> The retained project notes show that the GPT-4 baseline produced about 50% variation across runs, while o3-mini-high reduced variation to about 35%. Expressed as derived alignment, repeatability improved from 50% to 65%—a 15-point gain.</w:t>
      </w:r>
    </w:p>
    <w:p>
      <w:pPr>
        <w:spacing w:before="120" w:after="200" w:line="269" w:lineRule="auto"/>
        <w:ind w:left="259" w:right="144"/>
        <w:shd w:fill="E8F4F2"/>
        <w:pBdr>
          <w:left w:val="single" w:sz="18" w:space="8" w:color="1F7A78"/>
        </w:pBdr>
      </w:pPr>
      <w:r>
        <w:rPr>
          <w:rFonts w:ascii="Calibri" w:hAnsi="Calibri"/>
          <w:b/>
          <w:color w:val="1F7A78"/>
          <w:sz w:val="19"/>
        </w:rPr>
        <w:t xml:space="preserve">DECISION  </w:t>
      </w:r>
      <w:r>
        <w:rPr>
          <w:rFonts w:ascii="Calibri" w:hAnsi="Calibri"/>
          <w:color w:val="202A33"/>
          <w:sz w:val="22"/>
        </w:rPr>
        <w:t>Use o3-mini-high as the default high-volume tagging model, escalate ambiguous or high-stakes cases to full O3, use GPT-4.5 for creative stress-testing rather than primary scoring, and reserve O1 Pro for throughput-sensitive bulk passes.</w:t>
      </w:r>
    </w:p>
    <w:p>
      <w:pPr>
        <w:keepNext w:val="0"/>
        <w:spacing w:before="60" w:after="180" w:line="240" w:lineRule="auto"/>
        <w:jc w:val="left"/>
      </w:pPr>
      <w:r>
        <w:rPr>
          <w:rFonts w:ascii="Calibri" w:hAnsi="Calibri"/>
          <w:b w:val="0"/>
          <w:i/>
          <w:color w:val="5B6770"/>
          <w:sz w:val="18"/>
        </w:rPr>
        <w:t>Scope note: this is a reconstruction from project chat records and process notes—not a controlled external benchmark.</w:t>
      </w:r>
    </w:p>
    <w:p>
      <w:pPr>
        <w:pStyle w:val="Heading1"/>
        <w:keepNext/>
      </w:pPr>
      <w:r>
        <w:t>1. The evaluation problem</w:t>
      </w:r>
    </w:p>
    <w:p>
      <w:pPr>
        <w:keepNext w:val="0"/>
        <w:spacing w:before="0" w:after="120" w:line="264" w:lineRule="auto"/>
        <w:jc w:val="left"/>
      </w:pPr>
      <w:r>
        <w:rPr>
          <w:rFonts w:ascii="Calibri" w:hAnsi="Calibri"/>
          <w:b w:val="0"/>
          <w:i w:val="0"/>
          <w:color w:val="202A33"/>
          <w:sz w:val="22"/>
        </w:rPr>
        <w:t>The team was classifying structured research modules across qualitative dimensions such as ambiguity type, framing move, stabilizer, false clarity, tension axis, organizational implication, and friction archetype. The output needed to be interpretable enough to preserve latent meaning, yet consistent enough to support clustering and archetype development.</w:t>
      </w:r>
    </w:p>
    <w:p>
      <w:pPr>
        <w:keepNext/>
        <w:spacing w:before="0" w:after="120" w:line="264" w:lineRule="auto"/>
        <w:jc w:val="left"/>
      </w:pPr>
      <w:r>
        <w:rPr>
          <w:rFonts w:ascii="Calibri" w:hAnsi="Calibri"/>
          <w:b/>
          <w:i w:val="0"/>
          <w:color w:val="202A33"/>
          <w:sz w:val="22"/>
        </w:rPr>
        <w:t>Three practical failure modes drove the evaluation:</w:t>
      </w:r>
    </w:p>
    <w:p>
      <w:pPr>
        <w:pStyle w:val="ListBullet"/>
        <w:ind w:left="720" w:hanging="360"/>
      </w:pPr>
      <w:r>
        <w:t>Run-to-run variation: the same module received different tags or scores in fresh chats.</w:t>
      </w:r>
    </w:p>
    <w:p>
      <w:pPr>
        <w:pStyle w:val="ListBullet"/>
        <w:ind w:left="720" w:hanging="360"/>
      </w:pPr>
      <w:r>
        <w:t>Score flattening: the model reused a safe scoring template instead of distinguishing modules.</w:t>
      </w:r>
    </w:p>
    <w:p>
      <w:pPr>
        <w:pStyle w:val="ListBullet"/>
        <w:ind w:left="720" w:hanging="360"/>
      </w:pPr>
      <w:r>
        <w:t>Scale drift: performance could degrade as the batch grew from tens to hundreds of modules.</w:t>
      </w:r>
    </w:p>
    <w:p>
      <w:pPr>
        <w:pStyle w:val="Heading1"/>
        <w:keepNext/>
      </w:pPr>
      <w:r>
        <w:t>2. Models considered</w:t>
      </w:r>
    </w:p>
    <w:tbl>
      <w:tblPr>
        <w:tblW w:type="dxa" w:w="9360"/>
        <w:jc w:val="left"/>
        <w:tblLayout w:type="fixed"/>
        <w:tblLook w:firstColumn="1" w:firstRow="1" w:lastColumn="0" w:lastRow="0" w:noHBand="0" w:noVBand="1" w:val="04A0"/>
        <w:tblInd w:w="120" w:type="dxa"/>
        <w:tblBorders>
          <w:top w:val="single" w:sz="6" w:space="0" w:color="D6DEE5"/>
          <w:left w:val="single" w:sz="6" w:space="0" w:color="D6DEE5"/>
          <w:bottom w:val="single" w:sz="6" w:space="0" w:color="D6DEE5"/>
          <w:right w:val="single" w:sz="6" w:space="0" w:color="D6DEE5"/>
          <w:insideH w:val="single" w:sz="6" w:space="0" w:color="D6DEE5"/>
          <w:insideV w:val="single" w:sz="6" w:space="0" w:color="D6DEE5"/>
        </w:tblBorders>
      </w:tblPr>
      <w:tblGrid>
        <w:gridCol w:w="1750"/>
        <w:gridCol w:w="1900"/>
        <w:gridCol w:w="3300"/>
        <w:gridCol w:w="2410"/>
      </w:tblGrid>
      <w:tr>
        <w:trPr>
          <w:tblHeader w:val="true"/>
          <w:cantSplit w:val="true"/>
        </w:trPr>
        <w:tc>
          <w:tcPr>
            <w:tcW w:type="dxa" w:w="1750"/>
            <w:tcMar>
              <w:top w:w="70" w:type="dxa"/>
              <w:start w:w="120" w:type="dxa"/>
              <w:bottom w:w="70" w:type="dxa"/>
              <w:end w:w="120" w:type="dxa"/>
            </w:tcMar>
            <w:vAlign w:val="center"/>
            <w:shd w:fill="173B57"/>
          </w:tcPr>
          <w:p>
            <w:pPr>
              <w:spacing w:before="0" w:after="0" w:line="252" w:lineRule="auto"/>
            </w:pPr>
            <w:r>
              <w:rPr>
                <w:rFonts w:ascii="Calibri" w:hAnsi="Calibri"/>
                <w:b/>
                <w:color w:val="FFFFFF"/>
                <w:sz w:val="18"/>
              </w:rPr>
              <w:t>Model</w:t>
            </w:r>
          </w:p>
        </w:tc>
        <w:tc>
          <w:tcPr>
            <w:tcW w:type="dxa" w:w="1900"/>
            <w:tcMar>
              <w:top w:w="70" w:type="dxa"/>
              <w:start w:w="120" w:type="dxa"/>
              <w:bottom w:w="70" w:type="dxa"/>
              <w:end w:w="120" w:type="dxa"/>
            </w:tcMar>
            <w:vAlign w:val="center"/>
            <w:shd w:fill="173B57"/>
          </w:tcPr>
          <w:p>
            <w:pPr>
              <w:spacing w:before="0" w:after="0" w:line="252" w:lineRule="auto"/>
            </w:pPr>
            <w:r>
              <w:rPr>
                <w:rFonts w:ascii="Calibri" w:hAnsi="Calibri"/>
                <w:b/>
                <w:color w:val="FFFFFF"/>
                <w:sz w:val="18"/>
              </w:rPr>
              <w:t>Role tested</w:t>
            </w:r>
          </w:p>
        </w:tc>
        <w:tc>
          <w:tcPr>
            <w:tcW w:type="dxa" w:w="3300"/>
            <w:tcMar>
              <w:top w:w="70" w:type="dxa"/>
              <w:start w:w="120" w:type="dxa"/>
              <w:bottom w:w="70" w:type="dxa"/>
              <w:end w:w="120" w:type="dxa"/>
            </w:tcMar>
            <w:vAlign w:val="center"/>
            <w:shd w:fill="173B57"/>
          </w:tcPr>
          <w:p>
            <w:pPr>
              <w:spacing w:before="0" w:after="0" w:line="252" w:lineRule="auto"/>
            </w:pPr>
            <w:r>
              <w:rPr>
                <w:rFonts w:ascii="Calibri" w:hAnsi="Calibri"/>
                <w:b/>
                <w:color w:val="FFFFFF"/>
                <w:sz w:val="18"/>
              </w:rPr>
              <w:t>Observed outcome</w:t>
            </w:r>
          </w:p>
        </w:tc>
        <w:tc>
          <w:tcPr>
            <w:tcW w:type="dxa" w:w="2410"/>
            <w:tcMar>
              <w:top w:w="70" w:type="dxa"/>
              <w:start w:w="120" w:type="dxa"/>
              <w:bottom w:w="70" w:type="dxa"/>
              <w:end w:w="120" w:type="dxa"/>
            </w:tcMar>
            <w:vAlign w:val="center"/>
            <w:shd w:fill="173B57"/>
          </w:tcPr>
          <w:p>
            <w:pPr>
              <w:spacing w:before="0" w:after="0" w:line="252" w:lineRule="auto"/>
            </w:pPr>
            <w:r>
              <w:rPr>
                <w:rFonts w:ascii="Calibri" w:hAnsi="Calibri"/>
                <w:b/>
                <w:color w:val="FFFFFF"/>
                <w:sz w:val="18"/>
              </w:rPr>
              <w:t>Selection</w:t>
            </w:r>
          </w:p>
        </w:tc>
      </w:tr>
      <w:tr>
        <w:trPr>
          <w:cantSplit w:val="true"/>
        </w:trPr>
        <w:tc>
          <w:tcPr>
            <w:tcW w:type="dxa" w:w="1750"/>
            <w:tcMar>
              <w:top w:w="70" w:type="dxa"/>
              <w:start w:w="120" w:type="dxa"/>
              <w:bottom w:w="70" w:type="dxa"/>
              <w:end w:w="120" w:type="dxa"/>
            </w:tcMar>
            <w:vAlign w:val="center"/>
          </w:tcPr>
          <w:p>
            <w:pPr>
              <w:spacing w:before="0" w:after="0" w:line="252" w:lineRule="auto"/>
            </w:pPr>
            <w:r>
              <w:rPr>
                <w:rFonts w:ascii="Calibri" w:hAnsi="Calibri"/>
                <w:b w:val="0"/>
                <w:color w:val="202A33"/>
                <w:sz w:val="17"/>
              </w:rPr>
              <w:t>GPT-4 baseline</w:t>
              <w:br/>
              <w:t>(recorded as 4.0/4o)</w:t>
            </w:r>
          </w:p>
        </w:tc>
        <w:tc>
          <w:tcPr>
            <w:tcW w:type="dxa" w:w="1900"/>
            <w:tcMar>
              <w:top w:w="70" w:type="dxa"/>
              <w:start w:w="120" w:type="dxa"/>
              <w:bottom w:w="70" w:type="dxa"/>
              <w:end w:w="120" w:type="dxa"/>
            </w:tcMar>
            <w:vAlign w:val="center"/>
          </w:tcPr>
          <w:p>
            <w:pPr>
              <w:spacing w:before="0" w:after="0" w:line="252" w:lineRule="auto"/>
            </w:pPr>
            <w:r>
              <w:rPr>
                <w:rFonts w:ascii="Calibri" w:hAnsi="Calibri"/>
                <w:b w:val="0"/>
                <w:color w:val="202A33"/>
                <w:sz w:val="17"/>
              </w:rPr>
              <w:t>Initial production baseline</w:t>
            </w:r>
          </w:p>
        </w:tc>
        <w:tc>
          <w:tcPr>
            <w:tcW w:type="dxa" w:w="3300"/>
            <w:tcMar>
              <w:top w:w="70" w:type="dxa"/>
              <w:start w:w="120" w:type="dxa"/>
              <w:bottom w:w="70" w:type="dxa"/>
              <w:end w:w="120" w:type="dxa"/>
            </w:tcMar>
            <w:vAlign w:val="center"/>
          </w:tcPr>
          <w:p>
            <w:pPr>
              <w:spacing w:before="0" w:after="0" w:line="252" w:lineRule="auto"/>
            </w:pPr>
            <w:r>
              <w:rPr>
                <w:rFonts w:ascii="Calibri" w:hAnsi="Calibri"/>
                <w:b w:val="0"/>
                <w:color w:val="202A33"/>
                <w:sz w:val="17"/>
              </w:rPr>
              <w:t>50% observed variation; creative but prone to liberal interpretation</w:t>
            </w:r>
          </w:p>
        </w:tc>
        <w:tc>
          <w:tcPr>
            <w:tcW w:type="dxa" w:w="2410"/>
            <w:tcMar>
              <w:top w:w="70" w:type="dxa"/>
              <w:start w:w="120" w:type="dxa"/>
              <w:bottom w:w="70" w:type="dxa"/>
              <w:end w:w="120" w:type="dxa"/>
            </w:tcMar>
            <w:vAlign w:val="center"/>
          </w:tcPr>
          <w:p>
            <w:pPr>
              <w:spacing w:before="0" w:after="0" w:line="252" w:lineRule="auto"/>
            </w:pPr>
            <w:r>
              <w:rPr>
                <w:rFonts w:ascii="Calibri" w:hAnsi="Calibri"/>
                <w:b w:val="0"/>
                <w:color w:val="202A33"/>
                <w:sz w:val="17"/>
              </w:rPr>
              <w:t>Not selected for repeatable tagging</w:t>
            </w:r>
          </w:p>
        </w:tc>
      </w:tr>
      <w:tr>
        <w:trPr>
          <w:cantSplit w:val="true"/>
        </w:trPr>
        <w:tc>
          <w:tcPr>
            <w:tcW w:type="dxa" w:w="1750"/>
            <w:shd w:fill="F2F4F7"/>
            <w:tcMar>
              <w:top w:w="70" w:type="dxa"/>
              <w:start w:w="120" w:type="dxa"/>
              <w:bottom w:w="70" w:type="dxa"/>
              <w:end w:w="120" w:type="dxa"/>
            </w:tcMar>
            <w:vAlign w:val="center"/>
          </w:tcPr>
          <w:p>
            <w:pPr>
              <w:spacing w:before="0" w:after="0" w:line="252" w:lineRule="auto"/>
            </w:pPr>
            <w:r>
              <w:rPr>
                <w:rFonts w:ascii="Calibri" w:hAnsi="Calibri"/>
                <w:b w:val="0"/>
                <w:color w:val="202A33"/>
                <w:sz w:val="17"/>
              </w:rPr>
              <w:t>GPT-4.5</w:t>
            </w:r>
          </w:p>
        </w:tc>
        <w:tc>
          <w:tcPr>
            <w:tcW w:type="dxa" w:w="1900"/>
            <w:shd w:fill="F2F4F7"/>
            <w:tcMar>
              <w:top w:w="70" w:type="dxa"/>
              <w:start w:w="120" w:type="dxa"/>
              <w:bottom w:w="70" w:type="dxa"/>
              <w:end w:w="120" w:type="dxa"/>
            </w:tcMar>
            <w:vAlign w:val="center"/>
          </w:tcPr>
          <w:p>
            <w:pPr>
              <w:spacing w:before="0" w:after="0" w:line="252" w:lineRule="auto"/>
            </w:pPr>
            <w:r>
              <w:rPr>
                <w:rFonts w:ascii="Calibri" w:hAnsi="Calibri"/>
                <w:b w:val="0"/>
                <w:color w:val="202A33"/>
                <w:sz w:val="17"/>
              </w:rPr>
              <w:t>Nuance and common-sense check</w:t>
            </w:r>
          </w:p>
        </w:tc>
        <w:tc>
          <w:tcPr>
            <w:tcW w:type="dxa" w:w="3300"/>
            <w:shd w:fill="F2F4F7"/>
            <w:tcMar>
              <w:top w:w="70" w:type="dxa"/>
              <w:start w:w="120" w:type="dxa"/>
              <w:bottom w:w="70" w:type="dxa"/>
              <w:end w:w="120" w:type="dxa"/>
            </w:tcMar>
            <w:vAlign w:val="center"/>
          </w:tcPr>
          <w:p>
            <w:pPr>
              <w:spacing w:before="0" w:after="0" w:line="252" w:lineRule="auto"/>
            </w:pPr>
            <w:r>
              <w:rPr>
                <w:rFonts w:ascii="Calibri" w:hAnsi="Calibri"/>
                <w:b w:val="0"/>
                <w:color w:val="202A33"/>
                <w:sz w:val="17"/>
              </w:rPr>
              <w:t>Strong reframing; risk of speculative expansion; no retained alignment %</w:t>
            </w:r>
          </w:p>
        </w:tc>
        <w:tc>
          <w:tcPr>
            <w:tcW w:type="dxa" w:w="2410"/>
            <w:shd w:fill="F2F4F7"/>
            <w:tcMar>
              <w:top w:w="70" w:type="dxa"/>
              <w:start w:w="120" w:type="dxa"/>
              <w:bottom w:w="70" w:type="dxa"/>
              <w:end w:w="120" w:type="dxa"/>
            </w:tcMar>
            <w:vAlign w:val="center"/>
          </w:tcPr>
          <w:p>
            <w:pPr>
              <w:spacing w:before="0" w:after="0" w:line="252" w:lineRule="auto"/>
            </w:pPr>
            <w:r>
              <w:rPr>
                <w:rFonts w:ascii="Calibri" w:hAnsi="Calibri"/>
                <w:b w:val="0"/>
                <w:color w:val="202A33"/>
                <w:sz w:val="17"/>
              </w:rPr>
              <w:t>Secondary stress-test model</w:t>
            </w:r>
          </w:p>
        </w:tc>
      </w:tr>
      <w:tr>
        <w:trPr>
          <w:cantSplit w:val="true"/>
        </w:trPr>
        <w:tc>
          <w:tcPr>
            <w:tcW w:type="dxa" w:w="1750"/>
            <w:tcMar>
              <w:top w:w="70" w:type="dxa"/>
              <w:start w:w="120" w:type="dxa"/>
              <w:bottom w:w="70" w:type="dxa"/>
              <w:end w:w="120" w:type="dxa"/>
            </w:tcMar>
            <w:vAlign w:val="center"/>
          </w:tcPr>
          <w:p>
            <w:pPr>
              <w:spacing w:before="0" w:after="0" w:line="252" w:lineRule="auto"/>
            </w:pPr>
            <w:r>
              <w:rPr>
                <w:rFonts w:ascii="Calibri" w:hAnsi="Calibri"/>
                <w:b w:val="0"/>
                <w:color w:val="202A33"/>
                <w:sz w:val="17"/>
              </w:rPr>
              <w:t>Full O3</w:t>
            </w:r>
          </w:p>
        </w:tc>
        <w:tc>
          <w:tcPr>
            <w:tcW w:type="dxa" w:w="1900"/>
            <w:tcMar>
              <w:top w:w="70" w:type="dxa"/>
              <w:start w:w="120" w:type="dxa"/>
              <w:bottom w:w="70" w:type="dxa"/>
              <w:end w:w="120" w:type="dxa"/>
            </w:tcMar>
            <w:vAlign w:val="center"/>
          </w:tcPr>
          <w:p>
            <w:pPr>
              <w:spacing w:before="0" w:after="0" w:line="252" w:lineRule="auto"/>
            </w:pPr>
            <w:r>
              <w:rPr>
                <w:rFonts w:ascii="Calibri" w:hAnsi="Calibri"/>
                <w:b w:val="0"/>
                <w:color w:val="202A33"/>
                <w:sz w:val="17"/>
              </w:rPr>
              <w:t>High-rigor rubric execution</w:t>
            </w:r>
          </w:p>
        </w:tc>
        <w:tc>
          <w:tcPr>
            <w:tcW w:type="dxa" w:w="3300"/>
            <w:tcMar>
              <w:top w:w="70" w:type="dxa"/>
              <w:start w:w="120" w:type="dxa"/>
              <w:bottom w:w="70" w:type="dxa"/>
              <w:end w:w="120" w:type="dxa"/>
            </w:tcMar>
            <w:vAlign w:val="center"/>
          </w:tcPr>
          <w:p>
            <w:pPr>
              <w:spacing w:before="0" w:after="0" w:line="252" w:lineRule="auto"/>
            </w:pPr>
            <w:r>
              <w:rPr>
                <w:rFonts w:ascii="Calibri" w:hAnsi="Calibri"/>
                <w:b w:val="0"/>
                <w:color w:val="202A33"/>
                <w:sz w:val="17"/>
              </w:rPr>
              <w:t>Best qualitative fit for structured reasoning; slower</w:t>
            </w:r>
          </w:p>
        </w:tc>
        <w:tc>
          <w:tcPr>
            <w:tcW w:type="dxa" w:w="2410"/>
            <w:tcMar>
              <w:top w:w="70" w:type="dxa"/>
              <w:start w:w="120" w:type="dxa"/>
              <w:bottom w:w="70" w:type="dxa"/>
              <w:end w:w="120" w:type="dxa"/>
            </w:tcMar>
            <w:vAlign w:val="center"/>
          </w:tcPr>
          <w:p>
            <w:pPr>
              <w:spacing w:before="0" w:after="0" w:line="252" w:lineRule="auto"/>
            </w:pPr>
            <w:r>
              <w:rPr>
                <w:rFonts w:ascii="Calibri" w:hAnsi="Calibri"/>
                <w:b w:val="0"/>
                <w:color w:val="202A33"/>
                <w:sz w:val="17"/>
              </w:rPr>
              <w:t>Escalation / adjudication model</w:t>
            </w:r>
          </w:p>
        </w:tc>
      </w:tr>
      <w:tr>
        <w:trPr>
          <w:cantSplit w:val="true"/>
        </w:trPr>
        <w:tc>
          <w:tcPr>
            <w:tcW w:type="dxa" w:w="1750"/>
            <w:shd w:fill="E8F4F2"/>
            <w:tcMar>
              <w:top w:w="70" w:type="dxa"/>
              <w:start w:w="120" w:type="dxa"/>
              <w:bottom w:w="70" w:type="dxa"/>
              <w:end w:w="120" w:type="dxa"/>
            </w:tcMar>
            <w:vAlign w:val="center"/>
          </w:tcPr>
          <w:p>
            <w:pPr>
              <w:spacing w:before="0" w:after="0" w:line="252" w:lineRule="auto"/>
            </w:pPr>
            <w:r>
              <w:rPr>
                <w:rFonts w:ascii="Calibri" w:hAnsi="Calibri"/>
                <w:b w:val="0"/>
                <w:color w:val="202A33"/>
                <w:sz w:val="17"/>
              </w:rPr>
              <w:t>o3-mini-high</w:t>
            </w:r>
          </w:p>
        </w:tc>
        <w:tc>
          <w:tcPr>
            <w:tcW w:type="dxa" w:w="1900"/>
            <w:shd w:fill="E8F4F2"/>
            <w:tcMar>
              <w:top w:w="70" w:type="dxa"/>
              <w:start w:w="120" w:type="dxa"/>
              <w:bottom w:w="70" w:type="dxa"/>
              <w:end w:w="120" w:type="dxa"/>
            </w:tcMar>
            <w:vAlign w:val="center"/>
          </w:tcPr>
          <w:p>
            <w:pPr>
              <w:spacing w:before="0" w:after="0" w:line="252" w:lineRule="auto"/>
            </w:pPr>
            <w:r>
              <w:rPr>
                <w:rFonts w:ascii="Calibri" w:hAnsi="Calibri"/>
                <w:b w:val="0"/>
                <w:color w:val="202A33"/>
                <w:sz w:val="17"/>
              </w:rPr>
              <w:t>Efficient reasoning model</w:t>
            </w:r>
          </w:p>
        </w:tc>
        <w:tc>
          <w:tcPr>
            <w:tcW w:type="dxa" w:w="3300"/>
            <w:shd w:fill="E8F4F2"/>
            <w:tcMar>
              <w:top w:w="70" w:type="dxa"/>
              <w:start w:w="120" w:type="dxa"/>
              <w:bottom w:w="70" w:type="dxa"/>
              <w:end w:w="120" w:type="dxa"/>
            </w:tcMar>
            <w:vAlign w:val="center"/>
          </w:tcPr>
          <w:p>
            <w:pPr>
              <w:spacing w:before="0" w:after="0" w:line="252" w:lineRule="auto"/>
            </w:pPr>
            <w:r>
              <w:rPr>
                <w:rFonts w:ascii="Calibri" w:hAnsi="Calibri"/>
                <w:b w:val="0"/>
                <w:color w:val="202A33"/>
                <w:sz w:val="17"/>
              </w:rPr>
              <w:t>35% observed variation; 65% derived alignment</w:t>
            </w:r>
          </w:p>
        </w:tc>
        <w:tc>
          <w:tcPr>
            <w:tcW w:type="dxa" w:w="2410"/>
            <w:shd w:fill="E8F4F2"/>
            <w:tcMar>
              <w:top w:w="70" w:type="dxa"/>
              <w:start w:w="120" w:type="dxa"/>
              <w:bottom w:w="70" w:type="dxa"/>
              <w:end w:w="120" w:type="dxa"/>
            </w:tcMar>
            <w:vAlign w:val="center"/>
          </w:tcPr>
          <w:p>
            <w:pPr>
              <w:spacing w:before="0" w:after="0" w:line="252" w:lineRule="auto"/>
            </w:pPr>
            <w:r>
              <w:rPr>
                <w:rFonts w:ascii="Calibri" w:hAnsi="Calibri"/>
                <w:b w:val="0"/>
                <w:color w:val="202A33"/>
                <w:sz w:val="17"/>
              </w:rPr>
              <w:t>Primary tagging model</w:t>
            </w:r>
          </w:p>
        </w:tc>
      </w:tr>
      <w:tr>
        <w:trPr>
          <w:cantSplit w:val="true"/>
        </w:trPr>
        <w:tc>
          <w:tcPr>
            <w:tcW w:type="dxa" w:w="1750"/>
            <w:shd w:fill="F2F4F7"/>
            <w:tcMar>
              <w:top w:w="70" w:type="dxa"/>
              <w:start w:w="120" w:type="dxa"/>
              <w:bottom w:w="70" w:type="dxa"/>
              <w:end w:w="120" w:type="dxa"/>
            </w:tcMar>
            <w:vAlign w:val="center"/>
          </w:tcPr>
          <w:p>
            <w:pPr>
              <w:spacing w:before="0" w:after="0" w:line="252" w:lineRule="auto"/>
            </w:pPr>
            <w:r>
              <w:rPr>
                <w:rFonts w:ascii="Calibri" w:hAnsi="Calibri"/>
                <w:b w:val="0"/>
                <w:color w:val="202A33"/>
                <w:sz w:val="17"/>
              </w:rPr>
              <w:t>O1 Pro</w:t>
            </w:r>
          </w:p>
        </w:tc>
        <w:tc>
          <w:tcPr>
            <w:tcW w:type="dxa" w:w="1900"/>
            <w:shd w:fill="F2F4F7"/>
            <w:tcMar>
              <w:top w:w="70" w:type="dxa"/>
              <w:start w:w="120" w:type="dxa"/>
              <w:bottom w:w="70" w:type="dxa"/>
              <w:end w:w="120" w:type="dxa"/>
            </w:tcMar>
            <w:vAlign w:val="center"/>
          </w:tcPr>
          <w:p>
            <w:pPr>
              <w:spacing w:before="0" w:after="0" w:line="252" w:lineRule="auto"/>
            </w:pPr>
            <w:r>
              <w:rPr>
                <w:rFonts w:ascii="Calibri" w:hAnsi="Calibri"/>
                <w:b w:val="0"/>
                <w:color w:val="202A33"/>
                <w:sz w:val="17"/>
              </w:rPr>
              <w:t>Bulk throughput option</w:t>
            </w:r>
          </w:p>
        </w:tc>
        <w:tc>
          <w:tcPr>
            <w:tcW w:type="dxa" w:w="3300"/>
            <w:shd w:fill="F2F4F7"/>
            <w:tcMar>
              <w:top w:w="70" w:type="dxa"/>
              <w:start w:w="120" w:type="dxa"/>
              <w:bottom w:w="70" w:type="dxa"/>
              <w:end w:w="120" w:type="dxa"/>
            </w:tcMar>
            <w:vAlign w:val="center"/>
          </w:tcPr>
          <w:p>
            <w:pPr>
              <w:spacing w:before="0" w:after="0" w:line="252" w:lineRule="auto"/>
            </w:pPr>
            <w:r>
              <w:rPr>
                <w:rFonts w:ascii="Calibri" w:hAnsi="Calibri"/>
                <w:b w:val="0"/>
                <w:color w:val="202A33"/>
                <w:sz w:val="17"/>
              </w:rPr>
              <w:t>500-module passes discussed; no retained accuracy %</w:t>
            </w:r>
          </w:p>
        </w:tc>
        <w:tc>
          <w:tcPr>
            <w:tcW w:type="dxa" w:w="2410"/>
            <w:shd w:fill="F2F4F7"/>
            <w:tcMar>
              <w:top w:w="70" w:type="dxa"/>
              <w:start w:w="120" w:type="dxa"/>
              <w:bottom w:w="70" w:type="dxa"/>
              <w:end w:w="120" w:type="dxa"/>
            </w:tcMar>
            <w:vAlign w:val="center"/>
          </w:tcPr>
          <w:p>
            <w:pPr>
              <w:spacing w:before="0" w:after="0" w:line="252" w:lineRule="auto"/>
            </w:pPr>
            <w:r>
              <w:rPr>
                <w:rFonts w:ascii="Calibri" w:hAnsi="Calibri"/>
                <w:b w:val="0"/>
                <w:color w:val="202A33"/>
                <w:sz w:val="17"/>
              </w:rPr>
              <w:t>Scale fallback, not nuanced adjudicator</w:t>
            </w:r>
          </w:p>
        </w:tc>
      </w:tr>
    </w:tbl>
    <w:p>
      <w:pPr>
        <w:spacing w:after="0"/>
      </w:pPr>
    </w:p>
    <w:p>
      <w:pPr>
        <w:pStyle w:val="Heading1"/>
        <w:keepNext/>
      </w:pPr>
      <w:r>
        <w:t>3. How the evaluation was conducted</w:t>
      </w:r>
    </w:p>
    <w:p>
      <w:pPr>
        <w:keepNext w:val="0"/>
        <w:spacing w:before="0" w:after="120" w:line="264" w:lineRule="auto"/>
        <w:jc w:val="left"/>
      </w:pPr>
      <w:r>
        <w:rPr>
          <w:rFonts w:ascii="Calibri" w:hAnsi="Calibri"/>
          <w:b w:val="0"/>
          <w:i w:val="0"/>
          <w:color w:val="202A33"/>
          <w:sz w:val="22"/>
        </w:rPr>
        <w:t>The evaluation evolved as a sequence of practical experiments. Each iteration kept the task recognizable while changing either the model, the prompt controls, or the batch design.</w:t>
      </w:r>
    </w:p>
    <w:tbl>
      <w:tblPr>
        <w:tblW w:type="dxa" w:w="9360"/>
        <w:jc w:val="left"/>
        <w:tblLayout w:type="fixed"/>
        <w:tblLook w:firstColumn="1" w:firstRow="1" w:lastColumn="0" w:lastRow="0" w:noHBand="0" w:noVBand="1" w:val="04A0"/>
        <w:tblInd w:w="120" w:type="dxa"/>
        <w:tblBorders>
          <w:top w:val="single" w:sz="6" w:space="0" w:color="D6DEE5"/>
          <w:left w:val="single" w:sz="6" w:space="0" w:color="D6DEE5"/>
          <w:bottom w:val="single" w:sz="6" w:space="0" w:color="D6DEE5"/>
          <w:right w:val="single" w:sz="6" w:space="0" w:color="D6DEE5"/>
          <w:insideH w:val="single" w:sz="6" w:space="0" w:color="D6DEE5"/>
          <w:insideV w:val="single" w:sz="6" w:space="0" w:color="D6DEE5"/>
        </w:tblBorders>
      </w:tblPr>
      <w:tblGrid>
        <w:gridCol w:w="900"/>
        <w:gridCol w:w="1700"/>
        <w:gridCol w:w="4000"/>
        <w:gridCol w:w="2760"/>
      </w:tblGrid>
      <w:tr>
        <w:trPr>
          <w:tblHeader w:val="true"/>
          <w:cantSplit w:val="true"/>
        </w:trPr>
        <w:tc>
          <w:tcPr>
            <w:tcW w:type="dxa" w:w="900"/>
            <w:tcMar>
              <w:top w:w="70" w:type="dxa"/>
              <w:start w:w="120" w:type="dxa"/>
              <w:bottom w:w="70" w:type="dxa"/>
              <w:end w:w="120" w:type="dxa"/>
            </w:tcMar>
            <w:vAlign w:val="center"/>
            <w:shd w:fill="173B57"/>
          </w:tcPr>
          <w:p>
            <w:pPr>
              <w:spacing w:before="0" w:after="0" w:line="252" w:lineRule="auto"/>
            </w:pPr>
            <w:r>
              <w:rPr>
                <w:rFonts w:ascii="Calibri" w:hAnsi="Calibri"/>
                <w:b/>
                <w:color w:val="FFFFFF"/>
                <w:sz w:val="18"/>
              </w:rPr>
              <w:t>Iteration</w:t>
            </w:r>
          </w:p>
        </w:tc>
        <w:tc>
          <w:tcPr>
            <w:tcW w:type="dxa" w:w="1700"/>
            <w:tcMar>
              <w:top w:w="70" w:type="dxa"/>
              <w:start w:w="120" w:type="dxa"/>
              <w:bottom w:w="70" w:type="dxa"/>
              <w:end w:w="120" w:type="dxa"/>
            </w:tcMar>
            <w:vAlign w:val="center"/>
            <w:shd w:fill="173B57"/>
          </w:tcPr>
          <w:p>
            <w:pPr>
              <w:spacing w:before="0" w:after="0" w:line="252" w:lineRule="auto"/>
            </w:pPr>
            <w:r>
              <w:rPr>
                <w:rFonts w:ascii="Calibri" w:hAnsi="Calibri"/>
                <w:b/>
                <w:color w:val="FFFFFF"/>
                <w:sz w:val="18"/>
              </w:rPr>
              <w:t>Change</w:t>
            </w:r>
          </w:p>
        </w:tc>
        <w:tc>
          <w:tcPr>
            <w:tcW w:type="dxa" w:w="4000"/>
            <w:tcMar>
              <w:top w:w="70" w:type="dxa"/>
              <w:start w:w="120" w:type="dxa"/>
              <w:bottom w:w="70" w:type="dxa"/>
              <w:end w:w="120" w:type="dxa"/>
            </w:tcMar>
            <w:vAlign w:val="center"/>
            <w:shd w:fill="173B57"/>
          </w:tcPr>
          <w:p>
            <w:pPr>
              <w:spacing w:before="0" w:after="0" w:line="252" w:lineRule="auto"/>
            </w:pPr>
            <w:r>
              <w:rPr>
                <w:rFonts w:ascii="Calibri" w:hAnsi="Calibri"/>
                <w:b/>
                <w:color w:val="FFFFFF"/>
                <w:sz w:val="18"/>
              </w:rPr>
              <w:t>Test</w:t>
            </w:r>
          </w:p>
        </w:tc>
        <w:tc>
          <w:tcPr>
            <w:tcW w:type="dxa" w:w="2760"/>
            <w:tcMar>
              <w:top w:w="70" w:type="dxa"/>
              <w:start w:w="120" w:type="dxa"/>
              <w:bottom w:w="70" w:type="dxa"/>
              <w:end w:w="120" w:type="dxa"/>
            </w:tcMar>
            <w:vAlign w:val="center"/>
            <w:shd w:fill="173B57"/>
          </w:tcPr>
          <w:p>
            <w:pPr>
              <w:spacing w:before="0" w:after="0" w:line="252" w:lineRule="auto"/>
            </w:pPr>
            <w:r>
              <w:rPr>
                <w:rFonts w:ascii="Calibri" w:hAnsi="Calibri"/>
                <w:b/>
                <w:color w:val="FFFFFF"/>
                <w:sz w:val="18"/>
              </w:rPr>
              <w:t>Practical outcome</w:t>
            </w:r>
          </w:p>
        </w:tc>
      </w:tr>
      <w:tr>
        <w:trPr>
          <w:cantSplit w:val="true"/>
        </w:trPr>
        <w:tc>
          <w:tcPr>
            <w:tcW w:type="dxa" w:w="900"/>
            <w:tcMar>
              <w:top w:w="70" w:type="dxa"/>
              <w:start w:w="120" w:type="dxa"/>
              <w:bottom w:w="70" w:type="dxa"/>
              <w:end w:w="120" w:type="dxa"/>
            </w:tcMar>
            <w:vAlign w:val="center"/>
          </w:tcPr>
          <w:p>
            <w:pPr>
              <w:spacing w:before="0" w:after="0" w:line="252" w:lineRule="auto"/>
            </w:pPr>
            <w:r>
              <w:rPr>
                <w:rFonts w:ascii="Calibri" w:hAnsi="Calibri"/>
                <w:b w:val="0"/>
                <w:color w:val="202A33"/>
                <w:sz w:val="18"/>
              </w:rPr>
              <w:t>1</w:t>
            </w:r>
          </w:p>
        </w:tc>
        <w:tc>
          <w:tcPr>
            <w:tcW w:type="dxa" w:w="1700"/>
            <w:tcMar>
              <w:top w:w="70" w:type="dxa"/>
              <w:start w:w="120" w:type="dxa"/>
              <w:bottom w:w="70" w:type="dxa"/>
              <w:end w:w="120" w:type="dxa"/>
            </w:tcMar>
            <w:vAlign w:val="center"/>
          </w:tcPr>
          <w:p>
            <w:pPr>
              <w:spacing w:before="0" w:after="0" w:line="252" w:lineRule="auto"/>
            </w:pPr>
            <w:r>
              <w:rPr>
                <w:rFonts w:ascii="Calibri" w:hAnsi="Calibri"/>
                <w:b w:val="0"/>
                <w:color w:val="202A33"/>
                <w:sz w:val="18"/>
              </w:rPr>
              <w:t>Screen the model family</w:t>
            </w:r>
          </w:p>
        </w:tc>
        <w:tc>
          <w:tcPr>
            <w:tcW w:type="dxa" w:w="4000"/>
            <w:tcMar>
              <w:top w:w="70" w:type="dxa"/>
              <w:start w:w="120" w:type="dxa"/>
              <w:bottom w:w="70" w:type="dxa"/>
              <w:end w:w="120" w:type="dxa"/>
            </w:tcMar>
            <w:vAlign w:val="center"/>
          </w:tcPr>
          <w:p>
            <w:pPr>
              <w:spacing w:before="0" w:after="0" w:line="252" w:lineRule="auto"/>
            </w:pPr>
            <w:r>
              <w:rPr>
                <w:rFonts w:ascii="Calibri" w:hAnsi="Calibri"/>
                <w:b w:val="0"/>
                <w:color w:val="202A33"/>
                <w:sz w:val="18"/>
              </w:rPr>
              <w:t>Compare GPT-4o, GPT-4.5, O1, and O3 against rubric fidelity, reasoning depth, and scale.</w:t>
            </w:r>
          </w:p>
        </w:tc>
        <w:tc>
          <w:tcPr>
            <w:tcW w:type="dxa" w:w="2760"/>
            <w:tcMar>
              <w:top w:w="70" w:type="dxa"/>
              <w:start w:w="120" w:type="dxa"/>
              <w:bottom w:w="70" w:type="dxa"/>
              <w:end w:w="120" w:type="dxa"/>
            </w:tcMar>
            <w:vAlign w:val="center"/>
          </w:tcPr>
          <w:p>
            <w:pPr>
              <w:spacing w:before="0" w:after="0" w:line="252" w:lineRule="auto"/>
            </w:pPr>
            <w:r>
              <w:rPr>
                <w:rFonts w:ascii="Calibri" w:hAnsi="Calibri"/>
                <w:b w:val="0"/>
                <w:color w:val="202A33"/>
                <w:sz w:val="18"/>
              </w:rPr>
              <w:t>O3 identified as the highest-rigor evaluator.</w:t>
            </w:r>
          </w:p>
        </w:tc>
      </w:tr>
      <w:tr>
        <w:trPr>
          <w:cantSplit w:val="true"/>
        </w:trPr>
        <w:tc>
          <w:tcPr>
            <w:tcW w:type="dxa" w:w="900"/>
            <w:shd w:fill="F2F4F7"/>
            <w:tcMar>
              <w:top w:w="70" w:type="dxa"/>
              <w:start w:w="120" w:type="dxa"/>
              <w:bottom w:w="70" w:type="dxa"/>
              <w:end w:w="120" w:type="dxa"/>
            </w:tcMar>
            <w:vAlign w:val="center"/>
          </w:tcPr>
          <w:p>
            <w:pPr>
              <w:spacing w:before="0" w:after="0" w:line="252" w:lineRule="auto"/>
            </w:pPr>
            <w:r>
              <w:rPr>
                <w:rFonts w:ascii="Calibri" w:hAnsi="Calibri"/>
                <w:b w:val="0"/>
                <w:color w:val="202A33"/>
                <w:sz w:val="18"/>
              </w:rPr>
              <w:t>2</w:t>
            </w:r>
          </w:p>
        </w:tc>
        <w:tc>
          <w:tcPr>
            <w:tcW w:type="dxa" w:w="1700"/>
            <w:shd w:fill="F2F4F7"/>
            <w:tcMar>
              <w:top w:w="70" w:type="dxa"/>
              <w:start w:w="120" w:type="dxa"/>
              <w:bottom w:w="70" w:type="dxa"/>
              <w:end w:w="120" w:type="dxa"/>
            </w:tcMar>
            <w:vAlign w:val="center"/>
          </w:tcPr>
          <w:p>
            <w:pPr>
              <w:spacing w:before="0" w:after="0" w:line="252" w:lineRule="auto"/>
            </w:pPr>
            <w:r>
              <w:rPr>
                <w:rFonts w:ascii="Calibri" w:hAnsi="Calibri"/>
                <w:b w:val="0"/>
                <w:color w:val="202A33"/>
                <w:sz w:val="18"/>
              </w:rPr>
              <w:t>Run the rubric at batch scale</w:t>
            </w:r>
          </w:p>
        </w:tc>
        <w:tc>
          <w:tcPr>
            <w:tcW w:type="dxa" w:w="4000"/>
            <w:shd w:fill="F2F4F7"/>
            <w:tcMar>
              <w:top w:w="70" w:type="dxa"/>
              <w:start w:w="120" w:type="dxa"/>
              <w:bottom w:w="70" w:type="dxa"/>
              <w:end w:w="120" w:type="dxa"/>
            </w:tcMar>
            <w:vAlign w:val="center"/>
          </w:tcPr>
          <w:p>
            <w:pPr>
              <w:spacing w:before="0" w:after="0" w:line="252" w:lineRule="auto"/>
            </w:pPr>
            <w:r>
              <w:rPr>
                <w:rFonts w:ascii="Calibri" w:hAnsi="Calibri"/>
                <w:b w:val="0"/>
                <w:color w:val="202A33"/>
                <w:sz w:val="18"/>
              </w:rPr>
              <w:t>Score multiple modules with the same 17-criterion matrix.</w:t>
            </w:r>
          </w:p>
        </w:tc>
        <w:tc>
          <w:tcPr>
            <w:tcW w:type="dxa" w:w="2760"/>
            <w:shd w:fill="F2F4F7"/>
            <w:tcMar>
              <w:top w:w="70" w:type="dxa"/>
              <w:start w:w="120" w:type="dxa"/>
              <w:bottom w:w="70" w:type="dxa"/>
              <w:end w:w="120" w:type="dxa"/>
            </w:tcMar>
            <w:vAlign w:val="center"/>
          </w:tcPr>
          <w:p>
            <w:pPr>
              <w:spacing w:before="0" w:after="0" w:line="252" w:lineRule="auto"/>
            </w:pPr>
            <w:r>
              <w:rPr>
                <w:rFonts w:ascii="Calibri" w:hAnsi="Calibri"/>
                <w:b w:val="0"/>
                <w:color w:val="202A33"/>
                <w:sz w:val="18"/>
              </w:rPr>
              <w:t>All outputs initially collapsed to score 153.</w:t>
            </w:r>
          </w:p>
        </w:tc>
      </w:tr>
      <w:tr>
        <w:trPr>
          <w:cantSplit w:val="true"/>
        </w:trPr>
        <w:tc>
          <w:tcPr>
            <w:tcW w:type="dxa" w:w="900"/>
            <w:tcMar>
              <w:top w:w="70" w:type="dxa"/>
              <w:start w:w="120" w:type="dxa"/>
              <w:bottom w:w="70" w:type="dxa"/>
              <w:end w:w="120" w:type="dxa"/>
            </w:tcMar>
            <w:vAlign w:val="center"/>
          </w:tcPr>
          <w:p>
            <w:pPr>
              <w:spacing w:before="0" w:after="0" w:line="252" w:lineRule="auto"/>
            </w:pPr>
            <w:r>
              <w:rPr>
                <w:rFonts w:ascii="Calibri" w:hAnsi="Calibri"/>
                <w:b w:val="0"/>
                <w:color w:val="202A33"/>
                <w:sz w:val="18"/>
              </w:rPr>
              <w:t>3</w:t>
            </w:r>
          </w:p>
        </w:tc>
        <w:tc>
          <w:tcPr>
            <w:tcW w:type="dxa" w:w="1700"/>
            <w:tcMar>
              <w:top w:w="70" w:type="dxa"/>
              <w:start w:w="120" w:type="dxa"/>
              <w:bottom w:w="70" w:type="dxa"/>
              <w:end w:w="120" w:type="dxa"/>
            </w:tcMar>
            <w:vAlign w:val="center"/>
          </w:tcPr>
          <w:p>
            <w:pPr>
              <w:spacing w:before="0" w:after="0" w:line="252" w:lineRule="auto"/>
            </w:pPr>
            <w:r>
              <w:rPr>
                <w:rFonts w:ascii="Calibri" w:hAnsi="Calibri"/>
                <w:b w:val="0"/>
                <w:color w:val="202A33"/>
                <w:sz w:val="18"/>
              </w:rPr>
              <w:t>Harden the prompt</w:t>
            </w:r>
          </w:p>
        </w:tc>
        <w:tc>
          <w:tcPr>
            <w:tcW w:type="dxa" w:w="4000"/>
            <w:tcMar>
              <w:top w:w="70" w:type="dxa"/>
              <w:start w:w="120" w:type="dxa"/>
              <w:bottom w:w="70" w:type="dxa"/>
              <w:end w:w="120" w:type="dxa"/>
            </w:tcMar>
            <w:vAlign w:val="center"/>
          </w:tcPr>
          <w:p>
            <w:pPr>
              <w:spacing w:before="0" w:after="0" w:line="252" w:lineRule="auto"/>
            </w:pPr>
            <w:r>
              <w:rPr>
                <w:rFonts w:ascii="Calibri" w:hAnsi="Calibri"/>
                <w:b w:val="0"/>
                <w:color w:val="202A33"/>
                <w:sz w:val="18"/>
              </w:rPr>
              <w:t>Add module resets, mandatory rubric language, duplicate-score audits, and stronger penalty rules.</w:t>
            </w:r>
          </w:p>
        </w:tc>
        <w:tc>
          <w:tcPr>
            <w:tcW w:type="dxa" w:w="2760"/>
            <w:tcMar>
              <w:top w:w="70" w:type="dxa"/>
              <w:start w:w="120" w:type="dxa"/>
              <w:bottom w:w="70" w:type="dxa"/>
              <w:end w:w="120" w:type="dxa"/>
            </w:tcMar>
            <w:vAlign w:val="center"/>
          </w:tcPr>
          <w:p>
            <w:pPr>
              <w:spacing w:before="0" w:after="0" w:line="252" w:lineRule="auto"/>
            </w:pPr>
            <w:r>
              <w:rPr>
                <w:rFonts w:ascii="Calibri" w:hAnsi="Calibri"/>
                <w:b w:val="0"/>
                <w:color w:val="202A33"/>
                <w:sz w:val="18"/>
              </w:rPr>
              <w:t>Score concentration fell from 100% to 57%.</w:t>
            </w:r>
          </w:p>
        </w:tc>
      </w:tr>
      <w:tr>
        <w:trPr>
          <w:cantSplit w:val="true"/>
        </w:trPr>
        <w:tc>
          <w:tcPr>
            <w:tcW w:type="dxa" w:w="900"/>
            <w:shd w:fill="F2F4F7"/>
            <w:tcMar>
              <w:top w:w="70" w:type="dxa"/>
              <w:start w:w="120" w:type="dxa"/>
              <w:bottom w:w="70" w:type="dxa"/>
              <w:end w:w="120" w:type="dxa"/>
            </w:tcMar>
            <w:vAlign w:val="center"/>
          </w:tcPr>
          <w:p>
            <w:pPr>
              <w:spacing w:before="0" w:after="0" w:line="252" w:lineRule="auto"/>
            </w:pPr>
            <w:r>
              <w:rPr>
                <w:rFonts w:ascii="Calibri" w:hAnsi="Calibri"/>
                <w:b w:val="0"/>
                <w:color w:val="202A33"/>
                <w:sz w:val="18"/>
              </w:rPr>
              <w:t>4</w:t>
            </w:r>
          </w:p>
        </w:tc>
        <w:tc>
          <w:tcPr>
            <w:tcW w:type="dxa" w:w="1700"/>
            <w:shd w:fill="F2F4F7"/>
            <w:tcMar>
              <w:top w:w="70" w:type="dxa"/>
              <w:start w:w="120" w:type="dxa"/>
              <w:bottom w:w="70" w:type="dxa"/>
              <w:end w:w="120" w:type="dxa"/>
            </w:tcMar>
            <w:vAlign w:val="center"/>
          </w:tcPr>
          <w:p>
            <w:pPr>
              <w:spacing w:before="0" w:after="0" w:line="252" w:lineRule="auto"/>
            </w:pPr>
            <w:r>
              <w:rPr>
                <w:rFonts w:ascii="Calibri" w:hAnsi="Calibri"/>
                <w:b w:val="0"/>
                <w:color w:val="202A33"/>
                <w:sz w:val="18"/>
              </w:rPr>
              <w:t>Repeat across model variants</w:t>
            </w:r>
          </w:p>
        </w:tc>
        <w:tc>
          <w:tcPr>
            <w:tcW w:type="dxa" w:w="4000"/>
            <w:shd w:fill="F2F4F7"/>
            <w:tcMar>
              <w:top w:w="70" w:type="dxa"/>
              <w:start w:w="120" w:type="dxa"/>
              <w:bottom w:w="70" w:type="dxa"/>
              <w:end w:w="120" w:type="dxa"/>
            </w:tcMar>
            <w:vAlign w:val="center"/>
          </w:tcPr>
          <w:p>
            <w:pPr>
              <w:spacing w:before="0" w:after="0" w:line="252" w:lineRule="auto"/>
            </w:pPr>
            <w:r>
              <w:rPr>
                <w:rFonts w:ascii="Calibri" w:hAnsi="Calibri"/>
                <w:b w:val="0"/>
                <w:color w:val="202A33"/>
                <w:sz w:val="18"/>
              </w:rPr>
              <w:t>Compare output variation under GPT-4 baseline and o3-mini-high.</w:t>
            </w:r>
          </w:p>
        </w:tc>
        <w:tc>
          <w:tcPr>
            <w:tcW w:type="dxa" w:w="2760"/>
            <w:shd w:fill="F2F4F7"/>
            <w:tcMar>
              <w:top w:w="70" w:type="dxa"/>
              <w:start w:w="120" w:type="dxa"/>
              <w:bottom w:w="70" w:type="dxa"/>
              <w:end w:w="120" w:type="dxa"/>
            </w:tcMar>
            <w:vAlign w:val="center"/>
          </w:tcPr>
          <w:p>
            <w:pPr>
              <w:spacing w:before="0" w:after="0" w:line="252" w:lineRule="auto"/>
            </w:pPr>
            <w:r>
              <w:rPr>
                <w:rFonts w:ascii="Calibri" w:hAnsi="Calibri"/>
                <w:b w:val="0"/>
                <w:color w:val="202A33"/>
                <w:sz w:val="18"/>
              </w:rPr>
              <w:t>Derived alignment rose from 50% to 65%.</w:t>
            </w:r>
          </w:p>
        </w:tc>
      </w:tr>
      <w:tr>
        <w:trPr>
          <w:cantSplit w:val="true"/>
        </w:trPr>
        <w:tc>
          <w:tcPr>
            <w:tcW w:type="dxa" w:w="900"/>
            <w:shd w:fill="E8F4F2"/>
            <w:tcMar>
              <w:top w:w="70" w:type="dxa"/>
              <w:start w:w="120" w:type="dxa"/>
              <w:bottom w:w="70" w:type="dxa"/>
              <w:end w:w="120" w:type="dxa"/>
            </w:tcMar>
            <w:vAlign w:val="center"/>
          </w:tcPr>
          <w:p>
            <w:pPr>
              <w:spacing w:before="0" w:after="0" w:line="252" w:lineRule="auto"/>
            </w:pPr>
            <w:r>
              <w:rPr>
                <w:rFonts w:ascii="Calibri" w:hAnsi="Calibri"/>
                <w:b w:val="0"/>
                <w:color w:val="202A33"/>
                <w:sz w:val="18"/>
              </w:rPr>
              <w:t>5</w:t>
            </w:r>
          </w:p>
        </w:tc>
        <w:tc>
          <w:tcPr>
            <w:tcW w:type="dxa" w:w="1700"/>
            <w:shd w:fill="E8F4F2"/>
            <w:tcMar>
              <w:top w:w="70" w:type="dxa"/>
              <w:start w:w="120" w:type="dxa"/>
              <w:bottom w:w="70" w:type="dxa"/>
              <w:end w:w="120" w:type="dxa"/>
            </w:tcMar>
            <w:vAlign w:val="center"/>
          </w:tcPr>
          <w:p>
            <w:pPr>
              <w:spacing w:before="0" w:after="0" w:line="252" w:lineRule="auto"/>
            </w:pPr>
            <w:r>
              <w:rPr>
                <w:rFonts w:ascii="Calibri" w:hAnsi="Calibri"/>
                <w:b w:val="0"/>
                <w:color w:val="202A33"/>
                <w:sz w:val="18"/>
              </w:rPr>
              <w:t>Test operating scale</w:t>
            </w:r>
          </w:p>
        </w:tc>
        <w:tc>
          <w:tcPr>
            <w:tcW w:type="dxa" w:w="4000"/>
            <w:shd w:fill="E8F4F2"/>
            <w:tcMar>
              <w:top w:w="70" w:type="dxa"/>
              <w:start w:w="120" w:type="dxa"/>
              <w:bottom w:w="70" w:type="dxa"/>
              <w:end w:w="120" w:type="dxa"/>
            </w:tcMar>
            <w:vAlign w:val="center"/>
          </w:tcPr>
          <w:p>
            <w:pPr>
              <w:spacing w:before="0" w:after="0" w:line="252" w:lineRule="auto"/>
            </w:pPr>
            <w:r>
              <w:rPr>
                <w:rFonts w:ascii="Calibri" w:hAnsi="Calibri"/>
                <w:b w:val="0"/>
                <w:color w:val="202A33"/>
                <w:sz w:val="18"/>
              </w:rPr>
              <w:t>Compare o3-mini-high batches with O1 Pro’s 500–880 module throughput proposition.</w:t>
            </w:r>
          </w:p>
        </w:tc>
        <w:tc>
          <w:tcPr>
            <w:tcW w:type="dxa" w:w="2760"/>
            <w:shd w:fill="E8F4F2"/>
            <w:tcMar>
              <w:top w:w="70" w:type="dxa"/>
              <w:start w:w="120" w:type="dxa"/>
              <w:bottom w:w="70" w:type="dxa"/>
              <w:end w:w="120" w:type="dxa"/>
            </w:tcMar>
            <w:vAlign w:val="center"/>
          </w:tcPr>
          <w:p>
            <w:pPr>
              <w:spacing w:before="0" w:after="0" w:line="252" w:lineRule="auto"/>
            </w:pPr>
            <w:r>
              <w:rPr>
                <w:rFonts w:ascii="Calibri" w:hAnsi="Calibri"/>
                <w:b w:val="0"/>
                <w:color w:val="202A33"/>
                <w:sz w:val="18"/>
              </w:rPr>
              <w:t>Adopt a tiered model workflow rather than one universal model.</w:t>
            </w:r>
          </w:p>
        </w:tc>
      </w:tr>
    </w:tbl>
    <w:p>
      <w:pPr>
        <w:spacing w:after="0"/>
      </w:pPr>
    </w:p>
    <w:p>
      <w:pPr>
        <w:pStyle w:val="Heading2"/>
        <w:keepNext/>
      </w:pPr>
      <w:r>
        <w:t>Metric definitions</w:t>
      </w:r>
    </w:p>
    <w:tbl>
      <w:tblPr>
        <w:tblW w:type="dxa" w:w="9360"/>
        <w:jc w:val="left"/>
        <w:tblLayout w:type="fixed"/>
        <w:tblLook w:firstColumn="1" w:firstRow="1" w:lastColumn="0" w:lastRow="0" w:noHBand="0" w:noVBand="1" w:val="04A0"/>
        <w:tblInd w:w="120" w:type="dxa"/>
        <w:tblBorders>
          <w:top w:val="single" w:sz="6" w:space="0" w:color="D6DEE5"/>
          <w:left w:val="single" w:sz="6" w:space="0" w:color="D6DEE5"/>
          <w:bottom w:val="single" w:sz="6" w:space="0" w:color="D6DEE5"/>
          <w:right w:val="single" w:sz="6" w:space="0" w:color="D6DEE5"/>
          <w:insideH w:val="single" w:sz="6" w:space="0" w:color="D6DEE5"/>
          <w:insideV w:val="single" w:sz="6" w:space="0" w:color="D6DEE5"/>
        </w:tblBorders>
      </w:tblPr>
      <w:tblGrid>
        <w:gridCol w:w="2200"/>
        <w:gridCol w:w="7160"/>
      </w:tblGrid>
      <w:tr>
        <w:trPr>
          <w:tblHeader w:val="true"/>
          <w:cantSplit w:val="true"/>
        </w:trPr>
        <w:tc>
          <w:tcPr>
            <w:tcW w:type="dxa" w:w="2200"/>
            <w:tcMar>
              <w:top w:w="70" w:type="dxa"/>
              <w:start w:w="120" w:type="dxa"/>
              <w:bottom w:w="70" w:type="dxa"/>
              <w:end w:w="120" w:type="dxa"/>
            </w:tcMar>
            <w:vAlign w:val="center"/>
            <w:shd w:fill="173B57"/>
          </w:tcPr>
          <w:p>
            <w:pPr>
              <w:spacing w:before="0" w:after="0" w:line="252" w:lineRule="auto"/>
            </w:pPr>
            <w:r>
              <w:rPr>
                <w:rFonts w:ascii="Calibri" w:hAnsi="Calibri"/>
                <w:b/>
                <w:color w:val="FFFFFF"/>
                <w:sz w:val="18"/>
              </w:rPr>
              <w:t>Metric</w:t>
            </w:r>
          </w:p>
        </w:tc>
        <w:tc>
          <w:tcPr>
            <w:tcW w:type="dxa" w:w="7160"/>
            <w:tcMar>
              <w:top w:w="70" w:type="dxa"/>
              <w:start w:w="120" w:type="dxa"/>
              <w:bottom w:w="70" w:type="dxa"/>
              <w:end w:w="120" w:type="dxa"/>
            </w:tcMar>
            <w:vAlign w:val="center"/>
            <w:shd w:fill="173B57"/>
          </w:tcPr>
          <w:p>
            <w:pPr>
              <w:spacing w:before="0" w:after="0" w:line="252" w:lineRule="auto"/>
            </w:pPr>
            <w:r>
              <w:rPr>
                <w:rFonts w:ascii="Calibri" w:hAnsi="Calibri"/>
                <w:b/>
                <w:color w:val="FFFFFF"/>
                <w:sz w:val="18"/>
              </w:rPr>
              <w:t>Meaning</w:t>
            </w:r>
          </w:p>
        </w:tc>
      </w:tr>
      <w:tr>
        <w:trPr>
          <w:cantSplit w:val="true"/>
        </w:trPr>
        <w:tc>
          <w:tcPr>
            <w:tcW w:type="dxa" w:w="2200"/>
            <w:tcMar>
              <w:top w:w="70" w:type="dxa"/>
              <w:start w:w="120" w:type="dxa"/>
              <w:bottom w:w="70" w:type="dxa"/>
              <w:end w:w="120" w:type="dxa"/>
            </w:tcMar>
            <w:vAlign w:val="center"/>
          </w:tcPr>
          <w:p>
            <w:pPr>
              <w:spacing w:before="0" w:after="0" w:line="252" w:lineRule="auto"/>
            </w:pPr>
            <w:r>
              <w:rPr>
                <w:rFonts w:ascii="Calibri" w:hAnsi="Calibri"/>
                <w:b w:val="0"/>
                <w:color w:val="202A33"/>
                <w:sz w:val="18"/>
              </w:rPr>
              <w:t>Observed variation</w:t>
            </w:r>
          </w:p>
        </w:tc>
        <w:tc>
          <w:tcPr>
            <w:tcW w:type="dxa" w:w="7160"/>
            <w:tcMar>
              <w:top w:w="70" w:type="dxa"/>
              <w:start w:w="120" w:type="dxa"/>
              <w:bottom w:w="70" w:type="dxa"/>
              <w:end w:w="120" w:type="dxa"/>
            </w:tcMar>
            <w:vAlign w:val="center"/>
          </w:tcPr>
          <w:p>
            <w:pPr>
              <w:spacing w:before="0" w:after="0" w:line="252" w:lineRule="auto"/>
            </w:pPr>
            <w:r>
              <w:rPr>
                <w:rFonts w:ascii="Calibri" w:hAnsi="Calibri"/>
                <w:b w:val="0"/>
                <w:color w:val="202A33"/>
                <w:sz w:val="18"/>
              </w:rPr>
              <w:t>Share of outputs that changed across repeated runs, as recorded in the project notes.</w:t>
            </w:r>
          </w:p>
        </w:tc>
      </w:tr>
      <w:tr>
        <w:trPr>
          <w:cantSplit w:val="true"/>
        </w:trPr>
        <w:tc>
          <w:tcPr>
            <w:tcW w:type="dxa" w:w="2200"/>
            <w:shd w:fill="F2F4F7"/>
            <w:tcMar>
              <w:top w:w="70" w:type="dxa"/>
              <w:start w:w="120" w:type="dxa"/>
              <w:bottom w:w="70" w:type="dxa"/>
              <w:end w:w="120" w:type="dxa"/>
            </w:tcMar>
            <w:vAlign w:val="center"/>
          </w:tcPr>
          <w:p>
            <w:pPr>
              <w:spacing w:before="0" w:after="0" w:line="252" w:lineRule="auto"/>
            </w:pPr>
            <w:r>
              <w:rPr>
                <w:rFonts w:ascii="Calibri" w:hAnsi="Calibri"/>
                <w:b w:val="0"/>
                <w:color w:val="202A33"/>
                <w:sz w:val="18"/>
              </w:rPr>
              <w:t>Derived alignment</w:t>
            </w:r>
          </w:p>
        </w:tc>
        <w:tc>
          <w:tcPr>
            <w:tcW w:type="dxa" w:w="7160"/>
            <w:shd w:fill="F2F4F7"/>
            <w:tcMar>
              <w:top w:w="70" w:type="dxa"/>
              <w:start w:w="120" w:type="dxa"/>
              <w:bottom w:w="70" w:type="dxa"/>
              <w:end w:w="120" w:type="dxa"/>
            </w:tcMar>
            <w:vAlign w:val="center"/>
          </w:tcPr>
          <w:p>
            <w:pPr>
              <w:spacing w:before="0" w:after="0" w:line="252" w:lineRule="auto"/>
            </w:pPr>
            <w:r>
              <w:rPr>
                <w:rFonts w:ascii="Calibri" w:hAnsi="Calibri"/>
                <w:b w:val="0"/>
                <w:color w:val="202A33"/>
                <w:sz w:val="18"/>
              </w:rPr>
              <w:t>100% minus observed variation. Used as a simple repeatability indicator.</w:t>
            </w:r>
          </w:p>
        </w:tc>
      </w:tr>
      <w:tr>
        <w:trPr>
          <w:cantSplit w:val="true"/>
        </w:trPr>
        <w:tc>
          <w:tcPr>
            <w:tcW w:type="dxa" w:w="2200"/>
            <w:tcMar>
              <w:top w:w="70" w:type="dxa"/>
              <w:start w:w="120" w:type="dxa"/>
              <w:bottom w:w="70" w:type="dxa"/>
              <w:end w:w="120" w:type="dxa"/>
            </w:tcMar>
            <w:vAlign w:val="center"/>
          </w:tcPr>
          <w:p>
            <w:pPr>
              <w:spacing w:before="0" w:after="0" w:line="252" w:lineRule="auto"/>
            </w:pPr>
            <w:r>
              <w:rPr>
                <w:rFonts w:ascii="Calibri" w:hAnsi="Calibri"/>
                <w:b w:val="0"/>
                <w:color w:val="202A33"/>
                <w:sz w:val="18"/>
              </w:rPr>
              <w:t>Identical-score concentration</w:t>
            </w:r>
          </w:p>
        </w:tc>
        <w:tc>
          <w:tcPr>
            <w:tcW w:type="dxa" w:w="7160"/>
            <w:tcMar>
              <w:top w:w="70" w:type="dxa"/>
              <w:start w:w="120" w:type="dxa"/>
              <w:bottom w:w="70" w:type="dxa"/>
              <w:end w:w="120" w:type="dxa"/>
            </w:tcMar>
            <w:vAlign w:val="center"/>
          </w:tcPr>
          <w:p>
            <w:pPr>
              <w:spacing w:before="0" w:after="0" w:line="252" w:lineRule="auto"/>
            </w:pPr>
            <w:r>
              <w:rPr>
                <w:rFonts w:ascii="Calibri" w:hAnsi="Calibri"/>
                <w:b w:val="0"/>
                <w:color w:val="202A33"/>
                <w:sz w:val="18"/>
              </w:rPr>
              <w:t>Share of a batch receiving the same final score (153). High concentration indicated score flattening, not quality.</w:t>
            </w:r>
          </w:p>
        </w:tc>
      </w:tr>
      <w:tr>
        <w:trPr>
          <w:cantSplit w:val="true"/>
        </w:trPr>
        <w:tc>
          <w:tcPr>
            <w:tcW w:type="dxa" w:w="2200"/>
            <w:shd w:fill="F2F4F7"/>
            <w:tcMar>
              <w:top w:w="70" w:type="dxa"/>
              <w:start w:w="120" w:type="dxa"/>
              <w:bottom w:w="70" w:type="dxa"/>
              <w:end w:w="120" w:type="dxa"/>
            </w:tcMar>
            <w:vAlign w:val="center"/>
          </w:tcPr>
          <w:p>
            <w:pPr>
              <w:spacing w:before="0" w:after="0" w:line="252" w:lineRule="auto"/>
            </w:pPr>
            <w:r>
              <w:rPr>
                <w:rFonts w:ascii="Calibri" w:hAnsi="Calibri"/>
                <w:b w:val="0"/>
                <w:color w:val="202A33"/>
                <w:sz w:val="18"/>
              </w:rPr>
              <w:t>Differentiation rate</w:t>
            </w:r>
          </w:p>
        </w:tc>
        <w:tc>
          <w:tcPr>
            <w:tcW w:type="dxa" w:w="7160"/>
            <w:shd w:fill="F2F4F7"/>
            <w:tcMar>
              <w:top w:w="70" w:type="dxa"/>
              <w:start w:w="120" w:type="dxa"/>
              <w:bottom w:w="70" w:type="dxa"/>
              <w:end w:w="120" w:type="dxa"/>
            </w:tcMar>
            <w:vAlign w:val="center"/>
          </w:tcPr>
          <w:p>
            <w:pPr>
              <w:spacing w:before="0" w:after="0" w:line="252" w:lineRule="auto"/>
            </w:pPr>
            <w:r>
              <w:rPr>
                <w:rFonts w:ascii="Calibri" w:hAnsi="Calibri"/>
                <w:b w:val="0"/>
                <w:color w:val="202A33"/>
                <w:sz w:val="18"/>
              </w:rPr>
              <w:t>100% minus identical-score concentration. Used to show whether the rubric separated modules.</w:t>
            </w:r>
          </w:p>
        </w:tc>
      </w:tr>
    </w:tbl>
    <w:p>
      <w:pPr>
        <w:spacing w:after="0"/>
      </w:pPr>
    </w:p>
    <w:p>
      <w:pPr>
        <w:spacing w:before="120" w:after="200" w:line="269" w:lineRule="auto"/>
        <w:ind w:left="259" w:right="144"/>
        <w:shd w:fill="FFF7E8"/>
        <w:pBdr>
          <w:left w:val="single" w:sz="18" w:space="8" w:color="B07B20"/>
        </w:pBdr>
      </w:pPr>
      <w:r>
        <w:rPr>
          <w:rFonts w:ascii="Calibri" w:hAnsi="Calibri"/>
          <w:b/>
          <w:color w:val="B07B20"/>
          <w:sz w:val="19"/>
        </w:rPr>
        <w:t xml:space="preserve">IMPORTANT  </w:t>
      </w:r>
      <w:r>
        <w:rPr>
          <w:rFonts w:ascii="Calibri" w:hAnsi="Calibri"/>
          <w:color w:val="202A33"/>
          <w:sz w:val="22"/>
        </w:rPr>
        <w:t>Alignment and score concentration are different indicators. The first measures repeatability across runs; the second detects whether a scoring rubric is producing meaningful separation within a batch.</w:t>
      </w:r>
    </w:p>
    <w:p>
      <w:pPr>
        <w:pStyle w:val="Heading1"/>
        <w:keepNext/>
      </w:pPr>
      <w:r>
        <w:t>4. Results across iterations</w:t>
      </w:r>
    </w:p>
    <w:tbl>
      <w:tblPr>
        <w:tblW w:type="dxa" w:w="9360"/>
        <w:jc w:val="left"/>
        <w:tblLayout w:type="fixed"/>
        <w:tblLook w:firstColumn="1" w:firstRow="1" w:lastColumn="0" w:lastRow="0" w:noHBand="0" w:noVBand="1" w:val="04A0"/>
        <w:tblInd w:w="120" w:type="dxa"/>
        <w:tblBorders>
          <w:top w:val="single" w:sz="6" w:space="0" w:color="D6DEE5"/>
          <w:left w:val="single" w:sz="6" w:space="0" w:color="D6DEE5"/>
          <w:bottom w:val="single" w:sz="6" w:space="0" w:color="D6DEE5"/>
          <w:right w:val="single" w:sz="6" w:space="0" w:color="D6DEE5"/>
          <w:insideH w:val="single" w:sz="6" w:space="0" w:color="D6DEE5"/>
          <w:insideV w:val="single" w:sz="6" w:space="0" w:color="D6DEE5"/>
        </w:tblBorders>
      </w:tblPr>
      <w:tblGrid>
        <w:gridCol w:w="1740"/>
        <w:gridCol w:w="1750"/>
        <w:gridCol w:w="2200"/>
        <w:gridCol w:w="2140"/>
        <w:gridCol w:w="1530"/>
      </w:tblGrid>
      <w:tr>
        <w:trPr>
          <w:tblHeader w:val="true"/>
          <w:cantSplit w:val="true"/>
        </w:trPr>
        <w:tc>
          <w:tcPr>
            <w:tcW w:type="dxa" w:w="1740"/>
            <w:tcMar>
              <w:top w:w="70" w:type="dxa"/>
              <w:start w:w="120" w:type="dxa"/>
              <w:bottom w:w="70" w:type="dxa"/>
              <w:end w:w="120" w:type="dxa"/>
            </w:tcMar>
            <w:vAlign w:val="center"/>
            <w:shd w:fill="173B57"/>
          </w:tcPr>
          <w:p>
            <w:pPr>
              <w:spacing w:before="0" w:after="0" w:line="252" w:lineRule="auto"/>
            </w:pPr>
            <w:r>
              <w:rPr>
                <w:rFonts w:ascii="Calibri" w:hAnsi="Calibri"/>
                <w:b/>
                <w:color w:val="FFFFFF"/>
                <w:sz w:val="18"/>
              </w:rPr>
              <w:t>Indicator</w:t>
            </w:r>
          </w:p>
        </w:tc>
        <w:tc>
          <w:tcPr>
            <w:tcW w:type="dxa" w:w="1750"/>
            <w:tcMar>
              <w:top w:w="70" w:type="dxa"/>
              <w:start w:w="120" w:type="dxa"/>
              <w:bottom w:w="70" w:type="dxa"/>
              <w:end w:w="120" w:type="dxa"/>
            </w:tcMar>
            <w:vAlign w:val="center"/>
            <w:shd w:fill="173B57"/>
          </w:tcPr>
          <w:p>
            <w:pPr>
              <w:spacing w:before="0" w:after="0" w:line="252" w:lineRule="auto"/>
            </w:pPr>
            <w:r>
              <w:rPr>
                <w:rFonts w:ascii="Calibri" w:hAnsi="Calibri"/>
                <w:b/>
                <w:color w:val="FFFFFF"/>
                <w:sz w:val="18"/>
              </w:rPr>
              <w:t>Iteration</w:t>
            </w:r>
          </w:p>
        </w:tc>
        <w:tc>
          <w:tcPr>
            <w:tcW w:type="dxa" w:w="2200"/>
            <w:tcMar>
              <w:top w:w="70" w:type="dxa"/>
              <w:start w:w="120" w:type="dxa"/>
              <w:bottom w:w="70" w:type="dxa"/>
              <w:end w:w="120" w:type="dxa"/>
            </w:tcMar>
            <w:vAlign w:val="center"/>
            <w:shd w:fill="173B57"/>
          </w:tcPr>
          <w:p>
            <w:pPr>
              <w:spacing w:before="0" w:after="0" w:line="252" w:lineRule="auto"/>
            </w:pPr>
            <w:r>
              <w:rPr>
                <w:rFonts w:ascii="Calibri" w:hAnsi="Calibri"/>
                <w:b/>
                <w:color w:val="FFFFFF"/>
                <w:sz w:val="18"/>
              </w:rPr>
              <w:t>Observed result</w:t>
            </w:r>
          </w:p>
        </w:tc>
        <w:tc>
          <w:tcPr>
            <w:tcW w:type="dxa" w:w="2140"/>
            <w:tcMar>
              <w:top w:w="70" w:type="dxa"/>
              <w:start w:w="120" w:type="dxa"/>
              <w:bottom w:w="70" w:type="dxa"/>
              <w:end w:w="120" w:type="dxa"/>
            </w:tcMar>
            <w:vAlign w:val="center"/>
            <w:shd w:fill="173B57"/>
          </w:tcPr>
          <w:p>
            <w:pPr>
              <w:spacing w:before="0" w:after="0" w:line="252" w:lineRule="auto"/>
            </w:pPr>
            <w:r>
              <w:rPr>
                <w:rFonts w:ascii="Calibri" w:hAnsi="Calibri"/>
                <w:b/>
                <w:color w:val="FFFFFF"/>
                <w:sz w:val="18"/>
              </w:rPr>
              <w:t>Converted metric</w:t>
            </w:r>
          </w:p>
        </w:tc>
        <w:tc>
          <w:tcPr>
            <w:tcW w:type="dxa" w:w="1530"/>
            <w:tcMar>
              <w:top w:w="70" w:type="dxa"/>
              <w:start w:w="120" w:type="dxa"/>
              <w:bottom w:w="70" w:type="dxa"/>
              <w:end w:w="120" w:type="dxa"/>
            </w:tcMar>
            <w:vAlign w:val="center"/>
            <w:shd w:fill="173B57"/>
          </w:tcPr>
          <w:p>
            <w:pPr>
              <w:spacing w:before="0" w:after="0" w:line="252" w:lineRule="auto"/>
            </w:pPr>
            <w:r>
              <w:rPr>
                <w:rFonts w:ascii="Calibri" w:hAnsi="Calibri"/>
                <w:b/>
                <w:color w:val="FFFFFF"/>
                <w:sz w:val="18"/>
              </w:rPr>
              <w:t>Change</w:t>
            </w:r>
          </w:p>
        </w:tc>
      </w:tr>
      <w:tr>
        <w:trPr>
          <w:cantSplit w:val="true"/>
        </w:trPr>
        <w:tc>
          <w:tcPr>
            <w:tcW w:type="dxa" w:w="1740"/>
            <w:tcMar>
              <w:top w:w="70" w:type="dxa"/>
              <w:start w:w="120" w:type="dxa"/>
              <w:bottom w:w="70" w:type="dxa"/>
              <w:end w:w="120" w:type="dxa"/>
            </w:tcMar>
            <w:vAlign w:val="center"/>
          </w:tcPr>
          <w:p>
            <w:pPr>
              <w:spacing w:before="0" w:after="0" w:line="252" w:lineRule="auto"/>
            </w:pPr>
            <w:r>
              <w:rPr>
                <w:rFonts w:ascii="Calibri" w:hAnsi="Calibri"/>
                <w:b w:val="0"/>
                <w:color w:val="202A33"/>
                <w:sz w:val="18"/>
              </w:rPr>
              <w:t>Model repeatability</w:t>
            </w:r>
          </w:p>
        </w:tc>
        <w:tc>
          <w:tcPr>
            <w:tcW w:type="dxa" w:w="1750"/>
            <w:tcMar>
              <w:top w:w="70" w:type="dxa"/>
              <w:start w:w="120" w:type="dxa"/>
              <w:bottom w:w="70" w:type="dxa"/>
              <w:end w:w="120" w:type="dxa"/>
            </w:tcMar>
            <w:vAlign w:val="center"/>
          </w:tcPr>
          <w:p>
            <w:pPr>
              <w:spacing w:before="0" w:after="0" w:line="252" w:lineRule="auto"/>
            </w:pPr>
            <w:r>
              <w:rPr>
                <w:rFonts w:ascii="Calibri" w:hAnsi="Calibri"/>
                <w:b w:val="0"/>
                <w:color w:val="202A33"/>
                <w:sz w:val="18"/>
              </w:rPr>
              <w:t>GPT-4 baseline</w:t>
            </w:r>
          </w:p>
        </w:tc>
        <w:tc>
          <w:tcPr>
            <w:tcW w:type="dxa" w:w="2200"/>
            <w:tcMar>
              <w:top w:w="70" w:type="dxa"/>
              <w:start w:w="120" w:type="dxa"/>
              <w:bottom w:w="70" w:type="dxa"/>
              <w:end w:w="120" w:type="dxa"/>
            </w:tcMar>
            <w:vAlign w:val="center"/>
          </w:tcPr>
          <w:p>
            <w:pPr>
              <w:spacing w:before="0" w:after="0" w:line="252" w:lineRule="auto"/>
            </w:pPr>
            <w:r>
              <w:rPr>
                <w:rFonts w:ascii="Calibri" w:hAnsi="Calibri"/>
                <w:b w:val="0"/>
                <w:color w:val="202A33"/>
                <w:sz w:val="18"/>
              </w:rPr>
              <w:t>50% variation</w:t>
            </w:r>
          </w:p>
        </w:tc>
        <w:tc>
          <w:tcPr>
            <w:tcW w:type="dxa" w:w="2140"/>
            <w:tcMar>
              <w:top w:w="70" w:type="dxa"/>
              <w:start w:w="120" w:type="dxa"/>
              <w:bottom w:w="70" w:type="dxa"/>
              <w:end w:w="120" w:type="dxa"/>
            </w:tcMar>
            <w:vAlign w:val="center"/>
          </w:tcPr>
          <w:p>
            <w:pPr>
              <w:spacing w:before="0" w:after="0" w:line="252" w:lineRule="auto"/>
            </w:pPr>
            <w:r>
              <w:rPr>
                <w:rFonts w:ascii="Calibri" w:hAnsi="Calibri"/>
                <w:b w:val="0"/>
                <w:color w:val="202A33"/>
                <w:sz w:val="18"/>
              </w:rPr>
              <w:t>50% derived alignment</w:t>
            </w:r>
          </w:p>
        </w:tc>
        <w:tc>
          <w:tcPr>
            <w:tcW w:type="dxa" w:w="1530"/>
            <w:tcMar>
              <w:top w:w="70" w:type="dxa"/>
              <w:start w:w="120" w:type="dxa"/>
              <w:bottom w:w="70" w:type="dxa"/>
              <w:end w:w="120" w:type="dxa"/>
            </w:tcMar>
            <w:vAlign w:val="center"/>
          </w:tcPr>
          <w:p>
            <w:pPr>
              <w:spacing w:before="0" w:after="0" w:line="252" w:lineRule="auto"/>
            </w:pPr>
            <w:r>
              <w:rPr>
                <w:rFonts w:ascii="Calibri" w:hAnsi="Calibri"/>
                <w:b w:val="0"/>
                <w:color w:val="202A33"/>
                <w:sz w:val="18"/>
              </w:rPr>
              <w:t>Baseline</w:t>
            </w:r>
          </w:p>
        </w:tc>
      </w:tr>
      <w:tr>
        <w:trPr>
          <w:cantSplit w:val="true"/>
        </w:trPr>
        <w:tc>
          <w:tcPr>
            <w:tcW w:type="dxa" w:w="1740"/>
            <w:shd w:fill="E8F4F2"/>
            <w:tcMar>
              <w:top w:w="70" w:type="dxa"/>
              <w:start w:w="120" w:type="dxa"/>
              <w:bottom w:w="70" w:type="dxa"/>
              <w:end w:w="120" w:type="dxa"/>
            </w:tcMar>
            <w:vAlign w:val="center"/>
          </w:tcPr>
          <w:p>
            <w:pPr>
              <w:spacing w:before="0" w:after="0" w:line="252" w:lineRule="auto"/>
            </w:pPr>
            <w:r>
              <w:rPr>
                <w:rFonts w:ascii="Calibri" w:hAnsi="Calibri"/>
                <w:b w:val="0"/>
                <w:color w:val="202A33"/>
                <w:sz w:val="18"/>
              </w:rPr>
              <w:t>Model repeatability</w:t>
            </w:r>
          </w:p>
        </w:tc>
        <w:tc>
          <w:tcPr>
            <w:tcW w:type="dxa" w:w="1750"/>
            <w:shd w:fill="E8F4F2"/>
            <w:tcMar>
              <w:top w:w="70" w:type="dxa"/>
              <w:start w:w="120" w:type="dxa"/>
              <w:bottom w:w="70" w:type="dxa"/>
              <w:end w:w="120" w:type="dxa"/>
            </w:tcMar>
            <w:vAlign w:val="center"/>
          </w:tcPr>
          <w:p>
            <w:pPr>
              <w:spacing w:before="0" w:after="0" w:line="252" w:lineRule="auto"/>
            </w:pPr>
            <w:r>
              <w:rPr>
                <w:rFonts w:ascii="Calibri" w:hAnsi="Calibri"/>
                <w:b w:val="0"/>
                <w:color w:val="202A33"/>
                <w:sz w:val="18"/>
              </w:rPr>
              <w:t>o3-mini-high</w:t>
            </w:r>
          </w:p>
        </w:tc>
        <w:tc>
          <w:tcPr>
            <w:tcW w:type="dxa" w:w="2200"/>
            <w:shd w:fill="E8F4F2"/>
            <w:tcMar>
              <w:top w:w="70" w:type="dxa"/>
              <w:start w:w="120" w:type="dxa"/>
              <w:bottom w:w="70" w:type="dxa"/>
              <w:end w:w="120" w:type="dxa"/>
            </w:tcMar>
            <w:vAlign w:val="center"/>
          </w:tcPr>
          <w:p>
            <w:pPr>
              <w:spacing w:before="0" w:after="0" w:line="252" w:lineRule="auto"/>
            </w:pPr>
            <w:r>
              <w:rPr>
                <w:rFonts w:ascii="Calibri" w:hAnsi="Calibri"/>
                <w:b w:val="0"/>
                <w:color w:val="202A33"/>
                <w:sz w:val="18"/>
              </w:rPr>
              <w:t>35% variation</w:t>
            </w:r>
          </w:p>
        </w:tc>
        <w:tc>
          <w:tcPr>
            <w:tcW w:type="dxa" w:w="2140"/>
            <w:shd w:fill="E8F4F2"/>
            <w:tcMar>
              <w:top w:w="70" w:type="dxa"/>
              <w:start w:w="120" w:type="dxa"/>
              <w:bottom w:w="70" w:type="dxa"/>
              <w:end w:w="120" w:type="dxa"/>
            </w:tcMar>
            <w:vAlign w:val="center"/>
          </w:tcPr>
          <w:p>
            <w:pPr>
              <w:spacing w:before="0" w:after="0" w:line="252" w:lineRule="auto"/>
            </w:pPr>
            <w:r>
              <w:rPr>
                <w:rFonts w:ascii="Calibri" w:hAnsi="Calibri"/>
                <w:b w:val="0"/>
                <w:color w:val="202A33"/>
                <w:sz w:val="18"/>
              </w:rPr>
              <w:t>65% derived alignment</w:t>
            </w:r>
          </w:p>
        </w:tc>
        <w:tc>
          <w:tcPr>
            <w:tcW w:type="dxa" w:w="1530"/>
            <w:shd w:fill="E8F4F2"/>
            <w:tcMar>
              <w:top w:w="70" w:type="dxa"/>
              <w:start w:w="120" w:type="dxa"/>
              <w:bottom w:w="70" w:type="dxa"/>
              <w:end w:w="120" w:type="dxa"/>
            </w:tcMar>
            <w:vAlign w:val="center"/>
          </w:tcPr>
          <w:p>
            <w:pPr>
              <w:spacing w:before="0" w:after="0" w:line="252" w:lineRule="auto"/>
            </w:pPr>
            <w:r>
              <w:rPr>
                <w:rFonts w:ascii="Calibri" w:hAnsi="Calibri"/>
                <w:b w:val="0"/>
                <w:color w:val="202A33"/>
                <w:sz w:val="18"/>
              </w:rPr>
              <w:t>+15 pp</w:t>
            </w:r>
          </w:p>
        </w:tc>
      </w:tr>
      <w:tr>
        <w:trPr>
          <w:cantSplit w:val="true"/>
        </w:trPr>
        <w:tc>
          <w:tcPr>
            <w:tcW w:type="dxa" w:w="1740"/>
            <w:shd w:fill="F2F4F7"/>
            <w:tcMar>
              <w:top w:w="70" w:type="dxa"/>
              <w:start w:w="120" w:type="dxa"/>
              <w:bottom w:w="70" w:type="dxa"/>
              <w:end w:w="120" w:type="dxa"/>
            </w:tcMar>
            <w:vAlign w:val="center"/>
          </w:tcPr>
          <w:p>
            <w:pPr>
              <w:spacing w:before="0" w:after="0" w:line="252" w:lineRule="auto"/>
            </w:pPr>
            <w:r>
              <w:rPr>
                <w:rFonts w:ascii="Calibri" w:hAnsi="Calibri"/>
                <w:b w:val="0"/>
                <w:color w:val="202A33"/>
                <w:sz w:val="18"/>
              </w:rPr>
              <w:t>Rubric differentiation</w:t>
            </w:r>
          </w:p>
        </w:tc>
        <w:tc>
          <w:tcPr>
            <w:tcW w:type="dxa" w:w="1750"/>
            <w:shd w:fill="F2F4F7"/>
            <w:tcMar>
              <w:top w:w="70" w:type="dxa"/>
              <w:start w:w="120" w:type="dxa"/>
              <w:bottom w:w="70" w:type="dxa"/>
              <w:end w:w="120" w:type="dxa"/>
            </w:tcMar>
            <w:vAlign w:val="center"/>
          </w:tcPr>
          <w:p>
            <w:pPr>
              <w:spacing w:before="0" w:after="0" w:line="252" w:lineRule="auto"/>
            </w:pPr>
            <w:r>
              <w:rPr>
                <w:rFonts w:ascii="Calibri" w:hAnsi="Calibri"/>
                <w:b w:val="0"/>
                <w:color w:val="202A33"/>
                <w:sz w:val="18"/>
              </w:rPr>
              <w:t>Initial scoring run</w:t>
            </w:r>
          </w:p>
        </w:tc>
        <w:tc>
          <w:tcPr>
            <w:tcW w:type="dxa" w:w="2200"/>
            <w:shd w:fill="F2F4F7"/>
            <w:tcMar>
              <w:top w:w="70" w:type="dxa"/>
              <w:start w:w="120" w:type="dxa"/>
              <w:bottom w:w="70" w:type="dxa"/>
              <w:end w:w="120" w:type="dxa"/>
            </w:tcMar>
            <w:vAlign w:val="center"/>
          </w:tcPr>
          <w:p>
            <w:pPr>
              <w:spacing w:before="0" w:after="0" w:line="252" w:lineRule="auto"/>
            </w:pPr>
            <w:r>
              <w:rPr>
                <w:rFonts w:ascii="Calibri" w:hAnsi="Calibri"/>
                <w:b w:val="0"/>
                <w:color w:val="202A33"/>
                <w:sz w:val="18"/>
              </w:rPr>
              <w:t>30/30 shared score 153</w:t>
            </w:r>
          </w:p>
        </w:tc>
        <w:tc>
          <w:tcPr>
            <w:tcW w:type="dxa" w:w="2140"/>
            <w:shd w:fill="F2F4F7"/>
            <w:tcMar>
              <w:top w:w="70" w:type="dxa"/>
              <w:start w:w="120" w:type="dxa"/>
              <w:bottom w:w="70" w:type="dxa"/>
              <w:end w:w="120" w:type="dxa"/>
            </w:tcMar>
            <w:vAlign w:val="center"/>
          </w:tcPr>
          <w:p>
            <w:pPr>
              <w:spacing w:before="0" w:after="0" w:line="252" w:lineRule="auto"/>
            </w:pPr>
            <w:r>
              <w:rPr>
                <w:rFonts w:ascii="Calibri" w:hAnsi="Calibri"/>
                <w:b w:val="0"/>
                <w:color w:val="202A33"/>
                <w:sz w:val="18"/>
              </w:rPr>
              <w:t>0% differentiated</w:t>
            </w:r>
          </w:p>
        </w:tc>
        <w:tc>
          <w:tcPr>
            <w:tcW w:type="dxa" w:w="1530"/>
            <w:shd w:fill="F2F4F7"/>
            <w:tcMar>
              <w:top w:w="70" w:type="dxa"/>
              <w:start w:w="120" w:type="dxa"/>
              <w:bottom w:w="70" w:type="dxa"/>
              <w:end w:w="120" w:type="dxa"/>
            </w:tcMar>
            <w:vAlign w:val="center"/>
          </w:tcPr>
          <w:p>
            <w:pPr>
              <w:spacing w:before="0" w:after="0" w:line="252" w:lineRule="auto"/>
            </w:pPr>
            <w:r>
              <w:rPr>
                <w:rFonts w:ascii="Calibri" w:hAnsi="Calibri"/>
                <w:b w:val="0"/>
                <w:color w:val="202A33"/>
                <w:sz w:val="18"/>
              </w:rPr>
              <w:t>Failure state</w:t>
            </w:r>
          </w:p>
        </w:tc>
      </w:tr>
      <w:tr>
        <w:trPr>
          <w:cantSplit w:val="true"/>
        </w:trPr>
        <w:tc>
          <w:tcPr>
            <w:tcW w:type="dxa" w:w="1740"/>
            <w:shd w:fill="E8F4F2"/>
            <w:tcMar>
              <w:top w:w="70" w:type="dxa"/>
              <w:start w:w="120" w:type="dxa"/>
              <w:bottom w:w="70" w:type="dxa"/>
              <w:end w:w="120" w:type="dxa"/>
            </w:tcMar>
            <w:vAlign w:val="center"/>
          </w:tcPr>
          <w:p>
            <w:pPr>
              <w:spacing w:before="0" w:after="0" w:line="252" w:lineRule="auto"/>
            </w:pPr>
            <w:r>
              <w:rPr>
                <w:rFonts w:ascii="Calibri" w:hAnsi="Calibri"/>
                <w:b w:val="0"/>
                <w:color w:val="202A33"/>
                <w:sz w:val="18"/>
              </w:rPr>
              <w:t>Rubric differentiation</w:t>
            </w:r>
          </w:p>
        </w:tc>
        <w:tc>
          <w:tcPr>
            <w:tcW w:type="dxa" w:w="1750"/>
            <w:shd w:fill="E8F4F2"/>
            <w:tcMar>
              <w:top w:w="70" w:type="dxa"/>
              <w:start w:w="120" w:type="dxa"/>
              <w:bottom w:w="70" w:type="dxa"/>
              <w:end w:w="120" w:type="dxa"/>
            </w:tcMar>
            <w:vAlign w:val="center"/>
          </w:tcPr>
          <w:p>
            <w:pPr>
              <w:spacing w:before="0" w:after="0" w:line="252" w:lineRule="auto"/>
            </w:pPr>
            <w:r>
              <w:rPr>
                <w:rFonts w:ascii="Calibri" w:hAnsi="Calibri"/>
                <w:b w:val="0"/>
                <w:color w:val="202A33"/>
                <w:sz w:val="18"/>
              </w:rPr>
              <w:t>After prompt hardening</w:t>
            </w:r>
          </w:p>
        </w:tc>
        <w:tc>
          <w:tcPr>
            <w:tcW w:type="dxa" w:w="2200"/>
            <w:shd w:fill="E8F4F2"/>
            <w:tcMar>
              <w:top w:w="70" w:type="dxa"/>
              <w:start w:w="120" w:type="dxa"/>
              <w:bottom w:w="70" w:type="dxa"/>
              <w:end w:w="120" w:type="dxa"/>
            </w:tcMar>
            <w:vAlign w:val="center"/>
          </w:tcPr>
          <w:p>
            <w:pPr>
              <w:spacing w:before="0" w:after="0" w:line="252" w:lineRule="auto"/>
            </w:pPr>
            <w:r>
              <w:rPr>
                <w:rFonts w:ascii="Calibri" w:hAnsi="Calibri"/>
                <w:b w:val="0"/>
                <w:color w:val="202A33"/>
                <w:sz w:val="18"/>
              </w:rPr>
              <w:t>17/30 shared score 153</w:t>
            </w:r>
          </w:p>
        </w:tc>
        <w:tc>
          <w:tcPr>
            <w:tcW w:type="dxa" w:w="2140"/>
            <w:shd w:fill="E8F4F2"/>
            <w:tcMar>
              <w:top w:w="70" w:type="dxa"/>
              <w:start w:w="120" w:type="dxa"/>
              <w:bottom w:w="70" w:type="dxa"/>
              <w:end w:w="120" w:type="dxa"/>
            </w:tcMar>
            <w:vAlign w:val="center"/>
          </w:tcPr>
          <w:p>
            <w:pPr>
              <w:spacing w:before="0" w:after="0" w:line="252" w:lineRule="auto"/>
            </w:pPr>
            <w:r>
              <w:rPr>
                <w:rFonts w:ascii="Calibri" w:hAnsi="Calibri"/>
                <w:b w:val="0"/>
                <w:color w:val="202A33"/>
                <w:sz w:val="18"/>
              </w:rPr>
              <w:t>43.3% differentiated</w:t>
            </w:r>
          </w:p>
        </w:tc>
        <w:tc>
          <w:tcPr>
            <w:tcW w:type="dxa" w:w="1530"/>
            <w:shd w:fill="E8F4F2"/>
            <w:tcMar>
              <w:top w:w="70" w:type="dxa"/>
              <w:start w:w="120" w:type="dxa"/>
              <w:bottom w:w="70" w:type="dxa"/>
              <w:end w:w="120" w:type="dxa"/>
            </w:tcMar>
            <w:vAlign w:val="center"/>
          </w:tcPr>
          <w:p>
            <w:pPr>
              <w:spacing w:before="0" w:after="0" w:line="252" w:lineRule="auto"/>
            </w:pPr>
            <w:r>
              <w:rPr>
                <w:rFonts w:ascii="Calibri" w:hAnsi="Calibri"/>
                <w:b w:val="0"/>
                <w:color w:val="202A33"/>
                <w:sz w:val="18"/>
              </w:rPr>
              <w:t>+43.3 pp</w:t>
            </w:r>
          </w:p>
        </w:tc>
      </w:tr>
    </w:tbl>
    <w:p>
      <w:pPr>
        <w:spacing w:after="0"/>
      </w:pPr>
    </w:p>
    <w:p>
      <w:r>
        <w:br w:type="page"/>
      </w:r>
    </w:p>
    <w:p>
      <w:pPr>
        <w:pStyle w:val="Heading1"/>
        <w:keepNext/>
      </w:pPr>
      <w:r>
        <w:t>5. What changed in the numbers</w:t>
      </w:r>
    </w:p>
    <w:p>
      <w:r>
        <w:drawing>
          <wp:inline xmlns:a="http://schemas.openxmlformats.org/drawingml/2006/main" xmlns:pic="http://schemas.openxmlformats.org/drawingml/2006/picture">
            <wp:extent cx="5897880" cy="2801493"/>
            <wp:docPr id="1" name="Picture 1" title="Repeat-run alignment comparison" descr="Bar chart showing derived repeat-run alignment increasing from 50 percent for the GPT-4 baseline to 65 percent for o3-mini-high, a gain of 15 percentage points."/>
            <wp:cNvGraphicFramePr>
              <a:graphicFrameLocks noChangeAspect="1"/>
            </wp:cNvGraphicFramePr>
            <a:graphic>
              <a:graphicData uri="http://schemas.openxmlformats.org/drawingml/2006/picture">
                <pic:pic>
                  <pic:nvPicPr>
                    <pic:cNvPr id="0" name="alignment_chart.png"/>
                    <pic:cNvPicPr/>
                  </pic:nvPicPr>
                  <pic:blipFill>
                    <a:blip r:embed="rId11"/>
                    <a:stretch>
                      <a:fillRect/>
                    </a:stretch>
                  </pic:blipFill>
                  <pic:spPr>
                    <a:xfrm>
                      <a:off x="0" y="0"/>
                      <a:ext cx="5897880" cy="2801493"/>
                    </a:xfrm>
                    <a:prstGeom prst="rect"/>
                  </pic:spPr>
                </pic:pic>
              </a:graphicData>
            </a:graphic>
          </wp:inline>
        </w:drawing>
      </w:r>
    </w:p>
    <w:p>
      <w:pPr>
        <w:keepNext w:val="0"/>
        <w:spacing w:before="60" w:after="180" w:line="240" w:lineRule="auto"/>
        <w:jc w:val="left"/>
      </w:pPr>
      <w:r>
        <w:rPr>
          <w:rFonts w:ascii="Calibri" w:hAnsi="Calibri"/>
          <w:b w:val="0"/>
          <w:i/>
          <w:color w:val="5B6770"/>
          <w:sz w:val="18"/>
        </w:rPr>
        <w:t>Figure 1. Only two model variants had retained percentage measurements. Alignment is derived from the recorded variation rates.</w:t>
      </w:r>
    </w:p>
    <w:p>
      <w:r>
        <w:drawing>
          <wp:inline xmlns:a="http://schemas.openxmlformats.org/drawingml/2006/main" xmlns:pic="http://schemas.openxmlformats.org/drawingml/2006/picture">
            <wp:extent cx="5897880" cy="2801493"/>
            <wp:docPr id="2" name="Picture 2" title="Score concentration before and after prompt hardening" descr="Bar chart showing identical-score concentration falling from 100 percent in the initial rubric run to 57 percent after reset and audit rules, a reduction of 43 percentage points."/>
            <wp:cNvGraphicFramePr>
              <a:graphicFrameLocks noChangeAspect="1"/>
            </wp:cNvGraphicFramePr>
            <a:graphic>
              <a:graphicData uri="http://schemas.openxmlformats.org/drawingml/2006/picture">
                <pic:pic>
                  <pic:nvPicPr>
                    <pic:cNvPr id="0" name="concentration_chart.png"/>
                    <pic:cNvPicPr/>
                  </pic:nvPicPr>
                  <pic:blipFill>
                    <a:blip r:embed="rId12"/>
                    <a:stretch>
                      <a:fillRect/>
                    </a:stretch>
                  </pic:blipFill>
                  <pic:spPr>
                    <a:xfrm>
                      <a:off x="0" y="0"/>
                      <a:ext cx="5897880" cy="2801493"/>
                    </a:xfrm>
                    <a:prstGeom prst="rect"/>
                  </pic:spPr>
                </pic:pic>
              </a:graphicData>
            </a:graphic>
          </wp:inline>
        </w:drawing>
      </w:r>
    </w:p>
    <w:p>
      <w:pPr>
        <w:keepNext w:val="0"/>
        <w:spacing w:before="60" w:after="180" w:line="240" w:lineRule="auto"/>
        <w:jc w:val="left"/>
      </w:pPr>
      <w:r>
        <w:rPr>
          <w:rFonts w:ascii="Calibri" w:hAnsi="Calibri"/>
          <w:b w:val="0"/>
          <w:i/>
          <w:color w:val="5B6770"/>
          <w:sz w:val="18"/>
        </w:rPr>
        <w:t>Figure 2. Prompt-level controls reduced—but did not eliminate—the model’s tendency to reuse the same score.</w:t>
      </w:r>
    </w:p>
    <w:p>
      <w:r>
        <w:br w:type="page"/>
      </w:r>
    </w:p>
    <w:p>
      <w:pPr>
        <w:pStyle w:val="Heading1"/>
        <w:keepNext/>
      </w:pPr>
      <w:r>
        <w:t>6. A concrete module-level example</w:t>
      </w:r>
    </w:p>
    <w:p>
      <w:pPr>
        <w:keepNext w:val="0"/>
        <w:spacing w:before="0" w:after="120" w:line="264" w:lineRule="auto"/>
        <w:jc w:val="left"/>
      </w:pPr>
      <w:r>
        <w:rPr>
          <w:rFonts w:ascii="Calibri" w:hAnsi="Calibri"/>
          <w:b w:val="0"/>
          <w:i w:val="0"/>
          <w:color w:val="202A33"/>
          <w:sz w:val="22"/>
        </w:rPr>
        <w:t>Categorical Module 37 – C2-I1 was evaluated twice in fresh chat windows using the same rubric. The final scores were nearly identical, but the second run showed materially different reasoning behavior.</w:t>
      </w:r>
    </w:p>
    <w:tbl>
      <w:tblPr>
        <w:tblW w:type="dxa" w:w="9360"/>
        <w:jc w:val="left"/>
        <w:tblLayout w:type="fixed"/>
        <w:tblLook w:firstColumn="1" w:firstRow="1" w:lastColumn="0" w:lastRow="0" w:noHBand="0" w:noVBand="1" w:val="04A0"/>
        <w:tblInd w:w="120" w:type="dxa"/>
        <w:tblBorders>
          <w:top w:val="single" w:sz="6" w:space="0" w:color="D6DEE5"/>
          <w:left w:val="single" w:sz="6" w:space="0" w:color="D6DEE5"/>
          <w:bottom w:val="single" w:sz="6" w:space="0" w:color="D6DEE5"/>
          <w:right w:val="single" w:sz="6" w:space="0" w:color="D6DEE5"/>
          <w:insideH w:val="single" w:sz="6" w:space="0" w:color="D6DEE5"/>
          <w:insideV w:val="single" w:sz="6" w:space="0" w:color="D6DEE5"/>
        </w:tblBorders>
      </w:tblPr>
      <w:tblGrid>
        <w:gridCol w:w="2200"/>
        <w:gridCol w:w="1600"/>
        <w:gridCol w:w="1600"/>
        <w:gridCol w:w="3960"/>
      </w:tblGrid>
      <w:tr>
        <w:trPr>
          <w:tblHeader w:val="true"/>
          <w:cantSplit w:val="true"/>
        </w:trPr>
        <w:tc>
          <w:tcPr>
            <w:tcW w:type="dxa" w:w="2200"/>
            <w:tcMar>
              <w:top w:w="70" w:type="dxa"/>
              <w:start w:w="120" w:type="dxa"/>
              <w:bottom w:w="70" w:type="dxa"/>
              <w:end w:w="120" w:type="dxa"/>
            </w:tcMar>
            <w:vAlign w:val="center"/>
            <w:shd w:fill="173B57"/>
          </w:tcPr>
          <w:p>
            <w:pPr>
              <w:spacing w:before="0" w:after="0" w:line="252" w:lineRule="auto"/>
            </w:pPr>
            <w:r>
              <w:rPr>
                <w:rFonts w:ascii="Calibri" w:hAnsi="Calibri"/>
                <w:b/>
                <w:color w:val="FFFFFF"/>
                <w:sz w:val="18"/>
              </w:rPr>
              <w:t>Criterion</w:t>
            </w:r>
          </w:p>
        </w:tc>
        <w:tc>
          <w:tcPr>
            <w:tcW w:type="dxa" w:w="1600"/>
            <w:tcMar>
              <w:top w:w="70" w:type="dxa"/>
              <w:start w:w="120" w:type="dxa"/>
              <w:bottom w:w="70" w:type="dxa"/>
              <w:end w:w="120" w:type="dxa"/>
            </w:tcMar>
            <w:vAlign w:val="center"/>
            <w:shd w:fill="173B57"/>
          </w:tcPr>
          <w:p>
            <w:pPr>
              <w:spacing w:before="0" w:after="0" w:line="252" w:lineRule="auto"/>
            </w:pPr>
            <w:r>
              <w:rPr>
                <w:rFonts w:ascii="Calibri" w:hAnsi="Calibri"/>
                <w:b/>
                <w:color w:val="FFFFFF"/>
                <w:sz w:val="18"/>
              </w:rPr>
              <w:t>Run 1</w:t>
            </w:r>
          </w:p>
        </w:tc>
        <w:tc>
          <w:tcPr>
            <w:tcW w:type="dxa" w:w="1600"/>
            <w:tcMar>
              <w:top w:w="70" w:type="dxa"/>
              <w:start w:w="120" w:type="dxa"/>
              <w:bottom w:w="70" w:type="dxa"/>
              <w:end w:w="120" w:type="dxa"/>
            </w:tcMar>
            <w:vAlign w:val="center"/>
            <w:shd w:fill="173B57"/>
          </w:tcPr>
          <w:p>
            <w:pPr>
              <w:spacing w:before="0" w:after="0" w:line="252" w:lineRule="auto"/>
            </w:pPr>
            <w:r>
              <w:rPr>
                <w:rFonts w:ascii="Calibri" w:hAnsi="Calibri"/>
                <w:b/>
                <w:color w:val="FFFFFF"/>
                <w:sz w:val="18"/>
              </w:rPr>
              <w:t>Run 2</w:t>
            </w:r>
          </w:p>
        </w:tc>
        <w:tc>
          <w:tcPr>
            <w:tcW w:type="dxa" w:w="3960"/>
            <w:tcMar>
              <w:top w:w="70" w:type="dxa"/>
              <w:start w:w="120" w:type="dxa"/>
              <w:bottom w:w="70" w:type="dxa"/>
              <w:end w:w="120" w:type="dxa"/>
            </w:tcMar>
            <w:vAlign w:val="center"/>
            <w:shd w:fill="173B57"/>
          </w:tcPr>
          <w:p>
            <w:pPr>
              <w:spacing w:before="0" w:after="0" w:line="252" w:lineRule="auto"/>
            </w:pPr>
            <w:r>
              <w:rPr>
                <w:rFonts w:ascii="Calibri" w:hAnsi="Calibri"/>
                <w:b/>
                <w:color w:val="FFFFFF"/>
                <w:sz w:val="18"/>
              </w:rPr>
              <w:t>What changed</w:t>
            </w:r>
          </w:p>
        </w:tc>
      </w:tr>
      <w:tr>
        <w:trPr>
          <w:cantSplit w:val="true"/>
        </w:trPr>
        <w:tc>
          <w:tcPr>
            <w:tcW w:type="dxa" w:w="2200"/>
            <w:tcMar>
              <w:top w:w="70" w:type="dxa"/>
              <w:start w:w="120" w:type="dxa"/>
              <w:bottom w:w="70" w:type="dxa"/>
              <w:end w:w="120" w:type="dxa"/>
            </w:tcMar>
            <w:vAlign w:val="center"/>
          </w:tcPr>
          <w:p>
            <w:pPr>
              <w:spacing w:before="0" w:after="0" w:line="252" w:lineRule="auto"/>
            </w:pPr>
            <w:r>
              <w:rPr>
                <w:rFonts w:ascii="Calibri" w:hAnsi="Calibri"/>
                <w:b w:val="0"/>
                <w:color w:val="202A33"/>
                <w:sz w:val="18"/>
              </w:rPr>
              <w:t>Bias Visibility</w:t>
            </w:r>
          </w:p>
        </w:tc>
        <w:tc>
          <w:tcPr>
            <w:tcW w:type="dxa" w:w="1600"/>
            <w:tcMar>
              <w:top w:w="70" w:type="dxa"/>
              <w:start w:w="120" w:type="dxa"/>
              <w:bottom w:w="70" w:type="dxa"/>
              <w:end w:w="120" w:type="dxa"/>
            </w:tcMar>
            <w:vAlign w:val="center"/>
          </w:tcPr>
          <w:p>
            <w:pPr>
              <w:spacing w:before="0" w:after="0" w:line="252" w:lineRule="auto"/>
            </w:pPr>
            <w:r>
              <w:rPr>
                <w:rFonts w:ascii="Calibri" w:hAnsi="Calibri"/>
                <w:b w:val="0"/>
                <w:color w:val="202A33"/>
                <w:sz w:val="18"/>
              </w:rPr>
              <w:t>4 × 2 = 8</w:t>
            </w:r>
          </w:p>
        </w:tc>
        <w:tc>
          <w:tcPr>
            <w:tcW w:type="dxa" w:w="1600"/>
            <w:tcMar>
              <w:top w:w="70" w:type="dxa"/>
              <w:start w:w="120" w:type="dxa"/>
              <w:bottom w:w="70" w:type="dxa"/>
              <w:end w:w="120" w:type="dxa"/>
            </w:tcMar>
            <w:vAlign w:val="center"/>
          </w:tcPr>
          <w:p>
            <w:pPr>
              <w:spacing w:before="0" w:after="0" w:line="252" w:lineRule="auto"/>
            </w:pPr>
            <w:r>
              <w:rPr>
                <w:rFonts w:ascii="Calibri" w:hAnsi="Calibri"/>
                <w:b w:val="0"/>
                <w:color w:val="202A33"/>
                <w:sz w:val="18"/>
              </w:rPr>
              <w:t>5 × 2 = 10</w:t>
            </w:r>
          </w:p>
        </w:tc>
        <w:tc>
          <w:tcPr>
            <w:tcW w:type="dxa" w:w="3960"/>
            <w:tcMar>
              <w:top w:w="70" w:type="dxa"/>
              <w:start w:w="120" w:type="dxa"/>
              <w:bottom w:w="70" w:type="dxa"/>
              <w:end w:w="120" w:type="dxa"/>
            </w:tcMar>
            <w:vAlign w:val="center"/>
          </w:tcPr>
          <w:p>
            <w:pPr>
              <w:spacing w:before="0" w:after="0" w:line="252" w:lineRule="auto"/>
            </w:pPr>
            <w:r>
              <w:rPr>
                <w:rFonts w:ascii="Calibri" w:hAnsi="Calibri"/>
                <w:b w:val="0"/>
                <w:color w:val="202A33"/>
                <w:sz w:val="18"/>
              </w:rPr>
              <w:t>Second run recognized stronger evidence.</w:t>
            </w:r>
          </w:p>
        </w:tc>
      </w:tr>
      <w:tr>
        <w:trPr>
          <w:cantSplit w:val="true"/>
        </w:trPr>
        <w:tc>
          <w:tcPr>
            <w:tcW w:type="dxa" w:w="2200"/>
            <w:shd w:fill="F2F4F7"/>
            <w:tcMar>
              <w:top w:w="70" w:type="dxa"/>
              <w:start w:w="120" w:type="dxa"/>
              <w:bottom w:w="70" w:type="dxa"/>
              <w:end w:w="120" w:type="dxa"/>
            </w:tcMar>
            <w:vAlign w:val="center"/>
          </w:tcPr>
          <w:p>
            <w:pPr>
              <w:spacing w:before="0" w:after="0" w:line="252" w:lineRule="auto"/>
            </w:pPr>
            <w:r>
              <w:rPr>
                <w:rFonts w:ascii="Calibri" w:hAnsi="Calibri"/>
                <w:b w:val="0"/>
                <w:color w:val="202A33"/>
                <w:sz w:val="18"/>
              </w:rPr>
              <w:t>Over-Generality Penalty</w:t>
            </w:r>
          </w:p>
        </w:tc>
        <w:tc>
          <w:tcPr>
            <w:tcW w:type="dxa" w:w="1600"/>
            <w:shd w:fill="F2F4F7"/>
            <w:tcMar>
              <w:top w:w="70" w:type="dxa"/>
              <w:start w:w="120" w:type="dxa"/>
              <w:bottom w:w="70" w:type="dxa"/>
              <w:end w:w="120" w:type="dxa"/>
            </w:tcMar>
            <w:vAlign w:val="center"/>
          </w:tcPr>
          <w:p>
            <w:pPr>
              <w:spacing w:before="0" w:after="0" w:line="252" w:lineRule="auto"/>
            </w:pPr>
            <w:r>
              <w:rPr>
                <w:rFonts w:ascii="Calibri" w:hAnsi="Calibri"/>
                <w:b w:val="0"/>
                <w:color w:val="202A33"/>
                <w:sz w:val="18"/>
              </w:rPr>
              <w:t>1 × -2 = -2</w:t>
            </w:r>
          </w:p>
        </w:tc>
        <w:tc>
          <w:tcPr>
            <w:tcW w:type="dxa" w:w="1600"/>
            <w:shd w:fill="F2F4F7"/>
            <w:tcMar>
              <w:top w:w="70" w:type="dxa"/>
              <w:start w:w="120" w:type="dxa"/>
              <w:bottom w:w="70" w:type="dxa"/>
              <w:end w:w="120" w:type="dxa"/>
            </w:tcMar>
            <w:vAlign w:val="center"/>
          </w:tcPr>
          <w:p>
            <w:pPr>
              <w:spacing w:before="0" w:after="0" w:line="252" w:lineRule="auto"/>
            </w:pPr>
            <w:r>
              <w:rPr>
                <w:rFonts w:ascii="Calibri" w:hAnsi="Calibri"/>
                <w:b w:val="0"/>
                <w:color w:val="202A33"/>
                <w:sz w:val="18"/>
              </w:rPr>
              <w:t>3 × -2 = -6</w:t>
            </w:r>
          </w:p>
        </w:tc>
        <w:tc>
          <w:tcPr>
            <w:tcW w:type="dxa" w:w="3960"/>
            <w:shd w:fill="F2F4F7"/>
            <w:tcMar>
              <w:top w:w="70" w:type="dxa"/>
              <w:start w:w="120" w:type="dxa"/>
              <w:bottom w:w="70" w:type="dxa"/>
              <w:end w:w="120" w:type="dxa"/>
            </w:tcMar>
            <w:vAlign w:val="center"/>
          </w:tcPr>
          <w:p>
            <w:pPr>
              <w:spacing w:before="0" w:after="0" w:line="252" w:lineRule="auto"/>
            </w:pPr>
            <w:r>
              <w:rPr>
                <w:rFonts w:ascii="Calibri" w:hAnsi="Calibri"/>
                <w:b w:val="0"/>
                <w:color w:val="202A33"/>
                <w:sz w:val="18"/>
              </w:rPr>
              <w:t>Second run applied a more meaningful penalty.</w:t>
            </w:r>
          </w:p>
        </w:tc>
      </w:tr>
      <w:tr>
        <w:trPr>
          <w:cantSplit w:val="true"/>
        </w:trPr>
        <w:tc>
          <w:tcPr>
            <w:tcW w:type="dxa" w:w="2200"/>
            <w:tcMar>
              <w:top w:w="70" w:type="dxa"/>
              <w:start w:w="120" w:type="dxa"/>
              <w:bottom w:w="70" w:type="dxa"/>
              <w:end w:w="120" w:type="dxa"/>
            </w:tcMar>
            <w:vAlign w:val="center"/>
          </w:tcPr>
          <w:p>
            <w:pPr>
              <w:spacing w:before="0" w:after="0" w:line="252" w:lineRule="auto"/>
            </w:pPr>
            <w:r>
              <w:rPr>
                <w:rFonts w:ascii="Calibri" w:hAnsi="Calibri"/>
                <w:b w:val="0"/>
                <w:color w:val="202A33"/>
                <w:sz w:val="18"/>
              </w:rPr>
              <w:t>Cross-Level Noise</w:t>
            </w:r>
          </w:p>
        </w:tc>
        <w:tc>
          <w:tcPr>
            <w:tcW w:type="dxa" w:w="1600"/>
            <w:tcMar>
              <w:top w:w="70" w:type="dxa"/>
              <w:start w:w="120" w:type="dxa"/>
              <w:bottom w:w="70" w:type="dxa"/>
              <w:end w:w="120" w:type="dxa"/>
            </w:tcMar>
            <w:vAlign w:val="center"/>
          </w:tcPr>
          <w:p>
            <w:pPr>
              <w:spacing w:before="0" w:after="0" w:line="252" w:lineRule="auto"/>
            </w:pPr>
            <w:r>
              <w:rPr>
                <w:rFonts w:ascii="Calibri" w:hAnsi="Calibri"/>
                <w:b w:val="0"/>
                <w:color w:val="202A33"/>
                <w:sz w:val="18"/>
              </w:rPr>
              <w:t>4 × 2 = 8</w:t>
            </w:r>
          </w:p>
        </w:tc>
        <w:tc>
          <w:tcPr>
            <w:tcW w:type="dxa" w:w="1600"/>
            <w:tcMar>
              <w:top w:w="70" w:type="dxa"/>
              <w:start w:w="120" w:type="dxa"/>
              <w:bottom w:w="70" w:type="dxa"/>
              <w:end w:w="120" w:type="dxa"/>
            </w:tcMar>
            <w:vAlign w:val="center"/>
          </w:tcPr>
          <w:p>
            <w:pPr>
              <w:spacing w:before="0" w:after="0" w:line="252" w:lineRule="auto"/>
            </w:pPr>
            <w:r>
              <w:rPr>
                <w:rFonts w:ascii="Calibri" w:hAnsi="Calibri"/>
                <w:b w:val="0"/>
                <w:color w:val="202A33"/>
                <w:sz w:val="18"/>
              </w:rPr>
              <w:t>5 × 2 = 10</w:t>
            </w:r>
          </w:p>
        </w:tc>
        <w:tc>
          <w:tcPr>
            <w:tcW w:type="dxa" w:w="3960"/>
            <w:tcMar>
              <w:top w:w="70" w:type="dxa"/>
              <w:start w:w="120" w:type="dxa"/>
              <w:bottom w:w="70" w:type="dxa"/>
              <w:end w:w="120" w:type="dxa"/>
            </w:tcMar>
            <w:vAlign w:val="center"/>
          </w:tcPr>
          <w:p>
            <w:pPr>
              <w:spacing w:before="0" w:after="0" w:line="252" w:lineRule="auto"/>
            </w:pPr>
            <w:r>
              <w:rPr>
                <w:rFonts w:ascii="Calibri" w:hAnsi="Calibri"/>
                <w:b w:val="0"/>
                <w:color w:val="202A33"/>
                <w:sz w:val="18"/>
              </w:rPr>
              <w:t>Interpretation changed despite identical source material.</w:t>
            </w:r>
          </w:p>
        </w:tc>
      </w:tr>
      <w:tr>
        <w:trPr>
          <w:cantSplit w:val="true"/>
        </w:trPr>
        <w:tc>
          <w:tcPr>
            <w:tcW w:type="dxa" w:w="2200"/>
            <w:shd w:fill="E8F4F2"/>
            <w:tcMar>
              <w:top w:w="70" w:type="dxa"/>
              <w:start w:w="120" w:type="dxa"/>
              <w:bottom w:w="70" w:type="dxa"/>
              <w:end w:w="120" w:type="dxa"/>
            </w:tcMar>
            <w:vAlign w:val="center"/>
          </w:tcPr>
          <w:p>
            <w:pPr>
              <w:spacing w:before="0" w:after="0" w:line="252" w:lineRule="auto"/>
            </w:pPr>
            <w:r>
              <w:rPr>
                <w:rFonts w:ascii="Calibri" w:hAnsi="Calibri"/>
                <w:b w:val="0"/>
                <w:color w:val="202A33"/>
                <w:sz w:val="18"/>
              </w:rPr>
              <w:t>Final score</w:t>
            </w:r>
          </w:p>
        </w:tc>
        <w:tc>
          <w:tcPr>
            <w:tcW w:type="dxa" w:w="1600"/>
            <w:shd w:fill="E8F4F2"/>
            <w:tcMar>
              <w:top w:w="70" w:type="dxa"/>
              <w:start w:w="120" w:type="dxa"/>
              <w:bottom w:w="70" w:type="dxa"/>
              <w:end w:w="120" w:type="dxa"/>
            </w:tcMar>
            <w:vAlign w:val="center"/>
          </w:tcPr>
          <w:p>
            <w:pPr>
              <w:spacing w:before="0" w:after="0" w:line="252" w:lineRule="auto"/>
            </w:pPr>
            <w:r>
              <w:rPr>
                <w:rFonts w:ascii="Calibri" w:hAnsi="Calibri"/>
                <w:b w:val="0"/>
                <w:color w:val="202A33"/>
                <w:sz w:val="18"/>
              </w:rPr>
              <w:t>153</w:t>
            </w:r>
          </w:p>
        </w:tc>
        <w:tc>
          <w:tcPr>
            <w:tcW w:type="dxa" w:w="1600"/>
            <w:shd w:fill="E8F4F2"/>
            <w:tcMar>
              <w:top w:w="70" w:type="dxa"/>
              <w:start w:w="120" w:type="dxa"/>
              <w:bottom w:w="70" w:type="dxa"/>
              <w:end w:w="120" w:type="dxa"/>
            </w:tcMar>
            <w:vAlign w:val="center"/>
          </w:tcPr>
          <w:p>
            <w:pPr>
              <w:spacing w:before="0" w:after="0" w:line="252" w:lineRule="auto"/>
            </w:pPr>
            <w:r>
              <w:rPr>
                <w:rFonts w:ascii="Calibri" w:hAnsi="Calibri"/>
                <w:b w:val="0"/>
                <w:color w:val="202A33"/>
                <w:sz w:val="18"/>
              </w:rPr>
              <w:t>152</w:t>
            </w:r>
          </w:p>
        </w:tc>
        <w:tc>
          <w:tcPr>
            <w:tcW w:type="dxa" w:w="3960"/>
            <w:shd w:fill="E8F4F2"/>
            <w:tcMar>
              <w:top w:w="70" w:type="dxa"/>
              <w:start w:w="120" w:type="dxa"/>
              <w:bottom w:w="70" w:type="dxa"/>
              <w:end w:w="120" w:type="dxa"/>
            </w:tcMar>
            <w:vAlign w:val="center"/>
          </w:tcPr>
          <w:p>
            <w:pPr>
              <w:spacing w:before="0" w:after="0" w:line="252" w:lineRule="auto"/>
            </w:pPr>
            <w:r>
              <w:rPr>
                <w:rFonts w:ascii="Calibri" w:hAnsi="Calibri"/>
                <w:b w:val="0"/>
                <w:color w:val="202A33"/>
                <w:sz w:val="18"/>
              </w:rPr>
              <w:t>Only a 1-point change, masking larger criterion-level movement.</w:t>
            </w:r>
          </w:p>
        </w:tc>
      </w:tr>
    </w:tbl>
    <w:p>
      <w:pPr>
        <w:spacing w:after="0"/>
      </w:pPr>
    </w:p>
    <w:p>
      <w:pPr>
        <w:spacing w:before="120" w:after="200" w:line="269" w:lineRule="auto"/>
        <w:ind w:left="259" w:right="144"/>
        <w:shd w:fill="E8F0F7"/>
        <w:pBdr>
          <w:left w:val="single" w:sz="18" w:space="8" w:color="2E74B5"/>
        </w:pBdr>
      </w:pPr>
      <w:r>
        <w:rPr>
          <w:rFonts w:ascii="Calibri" w:hAnsi="Calibri"/>
          <w:b/>
          <w:color w:val="2E74B5"/>
          <w:sz w:val="19"/>
        </w:rPr>
        <w:t xml:space="preserve">INTERPRETATION  </w:t>
      </w:r>
      <w:r>
        <w:rPr>
          <w:rFonts w:ascii="Calibri" w:hAnsi="Calibri"/>
          <w:color w:val="202A33"/>
          <w:sz w:val="22"/>
        </w:rPr>
        <w:t>A stable total score did not guarantee a stable evaluation. The diagnostic therefore expanded beyond final-score comparison to inspect criterion-level decisions, justification quality, and recurring score patterns.</w:t>
      </w:r>
    </w:p>
    <w:p>
      <w:pPr>
        <w:pStyle w:val="Heading1"/>
        <w:keepNext/>
      </w:pPr>
      <w:r>
        <w:t>7. Final model selection</w:t>
      </w:r>
    </w:p>
    <w:p>
      <w:pPr>
        <w:keepNext w:val="0"/>
        <w:spacing w:before="0" w:after="120" w:line="264" w:lineRule="auto"/>
        <w:jc w:val="left"/>
      </w:pPr>
      <w:r>
        <w:rPr>
          <w:rFonts w:ascii="Calibri" w:hAnsi="Calibri"/>
          <w:b w:val="0"/>
          <w:i w:val="0"/>
          <w:color w:val="202A33"/>
          <w:sz w:val="22"/>
        </w:rPr>
        <w:t>The evaluation did not produce one universal winner. It produced a task-specific operating stack that balanced repeatability, reasoning depth, and throughput.</w:t>
      </w:r>
    </w:p>
    <w:tbl>
      <w:tblPr>
        <w:tblW w:type="dxa" w:w="9360"/>
        <w:jc w:val="left"/>
        <w:tblLayout w:type="fixed"/>
        <w:tblLook w:firstColumn="1" w:firstRow="1" w:lastColumn="0" w:lastRow="0" w:noHBand="0" w:noVBand="1" w:val="04A0"/>
        <w:tblInd w:w="120" w:type="dxa"/>
        <w:tblBorders>
          <w:top w:val="single" w:sz="6" w:space="0" w:color="D6DEE5"/>
          <w:left w:val="single" w:sz="6" w:space="0" w:color="D6DEE5"/>
          <w:bottom w:val="single" w:sz="6" w:space="0" w:color="D6DEE5"/>
          <w:right w:val="single" w:sz="6" w:space="0" w:color="D6DEE5"/>
          <w:insideH w:val="single" w:sz="6" w:space="0" w:color="D6DEE5"/>
          <w:insideV w:val="single" w:sz="6" w:space="0" w:color="D6DEE5"/>
        </w:tblBorders>
      </w:tblPr>
      <w:tblGrid>
        <w:gridCol w:w="2150"/>
        <w:gridCol w:w="1750"/>
        <w:gridCol w:w="5460"/>
      </w:tblGrid>
      <w:tr>
        <w:trPr>
          <w:tblHeader w:val="true"/>
          <w:cantSplit w:val="true"/>
        </w:trPr>
        <w:tc>
          <w:tcPr>
            <w:tcW w:type="dxa" w:w="2150"/>
            <w:tcMar>
              <w:top w:w="70" w:type="dxa"/>
              <w:start w:w="120" w:type="dxa"/>
              <w:bottom w:w="70" w:type="dxa"/>
              <w:end w:w="120" w:type="dxa"/>
            </w:tcMar>
            <w:vAlign w:val="center"/>
            <w:shd w:fill="173B57"/>
          </w:tcPr>
          <w:p>
            <w:pPr>
              <w:spacing w:before="0" w:after="0" w:line="252" w:lineRule="auto"/>
            </w:pPr>
            <w:r>
              <w:rPr>
                <w:rFonts w:ascii="Calibri" w:hAnsi="Calibri"/>
                <w:b/>
                <w:color w:val="FFFFFF"/>
                <w:sz w:val="18"/>
              </w:rPr>
              <w:t>Workflow role</w:t>
            </w:r>
          </w:p>
        </w:tc>
        <w:tc>
          <w:tcPr>
            <w:tcW w:type="dxa" w:w="1750"/>
            <w:tcMar>
              <w:top w:w="70" w:type="dxa"/>
              <w:start w:w="120" w:type="dxa"/>
              <w:bottom w:w="70" w:type="dxa"/>
              <w:end w:w="120" w:type="dxa"/>
            </w:tcMar>
            <w:vAlign w:val="center"/>
            <w:shd w:fill="173B57"/>
          </w:tcPr>
          <w:p>
            <w:pPr>
              <w:spacing w:before="0" w:after="0" w:line="252" w:lineRule="auto"/>
            </w:pPr>
            <w:r>
              <w:rPr>
                <w:rFonts w:ascii="Calibri" w:hAnsi="Calibri"/>
                <w:b/>
                <w:color w:val="FFFFFF"/>
                <w:sz w:val="18"/>
              </w:rPr>
              <w:t>Selected model</w:t>
            </w:r>
          </w:p>
        </w:tc>
        <w:tc>
          <w:tcPr>
            <w:tcW w:type="dxa" w:w="5460"/>
            <w:tcMar>
              <w:top w:w="70" w:type="dxa"/>
              <w:start w:w="120" w:type="dxa"/>
              <w:bottom w:w="70" w:type="dxa"/>
              <w:end w:w="120" w:type="dxa"/>
            </w:tcMar>
            <w:vAlign w:val="center"/>
            <w:shd w:fill="173B57"/>
          </w:tcPr>
          <w:p>
            <w:pPr>
              <w:spacing w:before="0" w:after="0" w:line="252" w:lineRule="auto"/>
            </w:pPr>
            <w:r>
              <w:rPr>
                <w:rFonts w:ascii="Calibri" w:hAnsi="Calibri"/>
                <w:b/>
                <w:color w:val="FFFFFF"/>
                <w:sz w:val="18"/>
              </w:rPr>
              <w:t>Why</w:t>
            </w:r>
          </w:p>
        </w:tc>
      </w:tr>
      <w:tr>
        <w:trPr>
          <w:cantSplit w:val="true"/>
        </w:trPr>
        <w:tc>
          <w:tcPr>
            <w:tcW w:type="dxa" w:w="2150"/>
            <w:shd w:fill="E8F4F2"/>
            <w:tcMar>
              <w:top w:w="70" w:type="dxa"/>
              <w:start w:w="120" w:type="dxa"/>
              <w:bottom w:w="70" w:type="dxa"/>
              <w:end w:w="120" w:type="dxa"/>
            </w:tcMar>
            <w:vAlign w:val="center"/>
          </w:tcPr>
          <w:p>
            <w:pPr>
              <w:spacing w:before="0" w:after="0" w:line="252" w:lineRule="auto"/>
            </w:pPr>
            <w:r>
              <w:rPr>
                <w:rFonts w:ascii="Calibri" w:hAnsi="Calibri"/>
                <w:b w:val="0"/>
                <w:color w:val="202A33"/>
                <w:sz w:val="18"/>
              </w:rPr>
              <w:t>Default tagging</w:t>
            </w:r>
          </w:p>
        </w:tc>
        <w:tc>
          <w:tcPr>
            <w:tcW w:type="dxa" w:w="1750"/>
            <w:shd w:fill="E8F4F2"/>
            <w:tcMar>
              <w:top w:w="70" w:type="dxa"/>
              <w:start w:w="120" w:type="dxa"/>
              <w:bottom w:w="70" w:type="dxa"/>
              <w:end w:w="120" w:type="dxa"/>
            </w:tcMar>
            <w:vAlign w:val="center"/>
          </w:tcPr>
          <w:p>
            <w:pPr>
              <w:spacing w:before="0" w:after="0" w:line="252" w:lineRule="auto"/>
            </w:pPr>
            <w:r>
              <w:rPr>
                <w:rFonts w:ascii="Calibri" w:hAnsi="Calibri"/>
                <w:b w:val="0"/>
                <w:color w:val="202A33"/>
                <w:sz w:val="18"/>
              </w:rPr>
              <w:t>o3-mini-high</w:t>
            </w:r>
          </w:p>
        </w:tc>
        <w:tc>
          <w:tcPr>
            <w:tcW w:type="dxa" w:w="5460"/>
            <w:shd w:fill="E8F4F2"/>
            <w:tcMar>
              <w:top w:w="70" w:type="dxa"/>
              <w:start w:w="120" w:type="dxa"/>
              <w:bottom w:w="70" w:type="dxa"/>
              <w:end w:w="120" w:type="dxa"/>
            </w:tcMar>
            <w:vAlign w:val="center"/>
          </w:tcPr>
          <w:p>
            <w:pPr>
              <w:spacing w:before="0" w:after="0" w:line="252" w:lineRule="auto"/>
            </w:pPr>
            <w:r>
              <w:rPr>
                <w:rFonts w:ascii="Calibri" w:hAnsi="Calibri"/>
                <w:b w:val="0"/>
                <w:color w:val="202A33"/>
                <w:sz w:val="18"/>
              </w:rPr>
              <w:t>Best retained repeat-run result (65% derived alignment) with practical 30–50 module batches.</w:t>
            </w:r>
          </w:p>
        </w:tc>
      </w:tr>
      <w:tr>
        <w:trPr>
          <w:cantSplit w:val="true"/>
        </w:trPr>
        <w:tc>
          <w:tcPr>
            <w:tcW w:type="dxa" w:w="2150"/>
            <w:tcMar>
              <w:top w:w="70" w:type="dxa"/>
              <w:start w:w="120" w:type="dxa"/>
              <w:bottom w:w="70" w:type="dxa"/>
              <w:end w:w="120" w:type="dxa"/>
            </w:tcMar>
            <w:vAlign w:val="center"/>
          </w:tcPr>
          <w:p>
            <w:pPr>
              <w:spacing w:before="0" w:after="0" w:line="252" w:lineRule="auto"/>
            </w:pPr>
            <w:r>
              <w:rPr>
                <w:rFonts w:ascii="Calibri" w:hAnsi="Calibri"/>
                <w:b w:val="0"/>
                <w:color w:val="202A33"/>
                <w:sz w:val="18"/>
              </w:rPr>
              <w:t>Ambiguous or high-stakes cases</w:t>
            </w:r>
          </w:p>
        </w:tc>
        <w:tc>
          <w:tcPr>
            <w:tcW w:type="dxa" w:w="1750"/>
            <w:tcMar>
              <w:top w:w="70" w:type="dxa"/>
              <w:start w:w="120" w:type="dxa"/>
              <w:bottom w:w="70" w:type="dxa"/>
              <w:end w:w="120" w:type="dxa"/>
            </w:tcMar>
            <w:vAlign w:val="center"/>
          </w:tcPr>
          <w:p>
            <w:pPr>
              <w:spacing w:before="0" w:after="0" w:line="252" w:lineRule="auto"/>
            </w:pPr>
            <w:r>
              <w:rPr>
                <w:rFonts w:ascii="Calibri" w:hAnsi="Calibri"/>
                <w:b w:val="0"/>
                <w:color w:val="202A33"/>
                <w:sz w:val="18"/>
              </w:rPr>
              <w:t>Full O3</w:t>
            </w:r>
          </w:p>
        </w:tc>
        <w:tc>
          <w:tcPr>
            <w:tcW w:type="dxa" w:w="5460"/>
            <w:tcMar>
              <w:top w:w="70" w:type="dxa"/>
              <w:start w:w="120" w:type="dxa"/>
              <w:bottom w:w="70" w:type="dxa"/>
              <w:end w:w="120" w:type="dxa"/>
            </w:tcMar>
            <w:vAlign w:val="center"/>
          </w:tcPr>
          <w:p>
            <w:pPr>
              <w:spacing w:before="0" w:after="0" w:line="252" w:lineRule="auto"/>
            </w:pPr>
            <w:r>
              <w:rPr>
                <w:rFonts w:ascii="Calibri" w:hAnsi="Calibri"/>
                <w:b w:val="0"/>
                <w:color w:val="202A33"/>
                <w:sz w:val="18"/>
              </w:rPr>
              <w:t>Highest rubric fidelity and deeper structured reasoning; used where nuance matters more than speed.</w:t>
            </w:r>
          </w:p>
        </w:tc>
      </w:tr>
      <w:tr>
        <w:trPr>
          <w:cantSplit w:val="true"/>
        </w:trPr>
        <w:tc>
          <w:tcPr>
            <w:tcW w:type="dxa" w:w="2150"/>
            <w:shd w:fill="F2F4F7"/>
            <w:tcMar>
              <w:top w:w="70" w:type="dxa"/>
              <w:start w:w="120" w:type="dxa"/>
              <w:bottom w:w="70" w:type="dxa"/>
              <w:end w:w="120" w:type="dxa"/>
            </w:tcMar>
            <w:vAlign w:val="center"/>
          </w:tcPr>
          <w:p>
            <w:pPr>
              <w:spacing w:before="0" w:after="0" w:line="252" w:lineRule="auto"/>
            </w:pPr>
            <w:r>
              <w:rPr>
                <w:rFonts w:ascii="Calibri" w:hAnsi="Calibri"/>
                <w:b w:val="0"/>
                <w:color w:val="202A33"/>
                <w:sz w:val="18"/>
              </w:rPr>
              <w:t>Creative counterfactual testing</w:t>
            </w:r>
          </w:p>
        </w:tc>
        <w:tc>
          <w:tcPr>
            <w:tcW w:type="dxa" w:w="1750"/>
            <w:shd w:fill="F2F4F7"/>
            <w:tcMar>
              <w:top w:w="70" w:type="dxa"/>
              <w:start w:w="120" w:type="dxa"/>
              <w:bottom w:w="70" w:type="dxa"/>
              <w:end w:w="120" w:type="dxa"/>
            </w:tcMar>
            <w:vAlign w:val="center"/>
          </w:tcPr>
          <w:p>
            <w:pPr>
              <w:spacing w:before="0" w:after="0" w:line="252" w:lineRule="auto"/>
            </w:pPr>
            <w:r>
              <w:rPr>
                <w:rFonts w:ascii="Calibri" w:hAnsi="Calibri"/>
                <w:b w:val="0"/>
                <w:color w:val="202A33"/>
                <w:sz w:val="18"/>
              </w:rPr>
              <w:t>GPT-4.5</w:t>
            </w:r>
          </w:p>
        </w:tc>
        <w:tc>
          <w:tcPr>
            <w:tcW w:type="dxa" w:w="5460"/>
            <w:shd w:fill="F2F4F7"/>
            <w:tcMar>
              <w:top w:w="70" w:type="dxa"/>
              <w:start w:w="120" w:type="dxa"/>
              <w:bottom w:w="70" w:type="dxa"/>
              <w:end w:w="120" w:type="dxa"/>
            </w:tcMar>
            <w:vAlign w:val="center"/>
          </w:tcPr>
          <w:p>
            <w:pPr>
              <w:spacing w:before="0" w:after="0" w:line="252" w:lineRule="auto"/>
            </w:pPr>
            <w:r>
              <w:rPr>
                <w:rFonts w:ascii="Calibri" w:hAnsi="Calibri"/>
                <w:b w:val="0"/>
                <w:color w:val="202A33"/>
                <w:sz w:val="18"/>
              </w:rPr>
              <w:t>Useful for reframing and challenging assumptions after reliable extraction—not for primary scoring.</w:t>
            </w:r>
          </w:p>
        </w:tc>
      </w:tr>
      <w:tr>
        <w:trPr>
          <w:cantSplit w:val="true"/>
        </w:trPr>
        <w:tc>
          <w:tcPr>
            <w:tcW w:type="dxa" w:w="2150"/>
            <w:tcMar>
              <w:top w:w="70" w:type="dxa"/>
              <w:start w:w="120" w:type="dxa"/>
              <w:bottom w:w="70" w:type="dxa"/>
              <w:end w:w="120" w:type="dxa"/>
            </w:tcMar>
            <w:vAlign w:val="center"/>
          </w:tcPr>
          <w:p>
            <w:pPr>
              <w:spacing w:before="0" w:after="0" w:line="252" w:lineRule="auto"/>
            </w:pPr>
            <w:r>
              <w:rPr>
                <w:rFonts w:ascii="Calibri" w:hAnsi="Calibri"/>
                <w:b w:val="0"/>
                <w:color w:val="202A33"/>
                <w:sz w:val="18"/>
              </w:rPr>
              <w:t>Very large batch triage</w:t>
            </w:r>
          </w:p>
        </w:tc>
        <w:tc>
          <w:tcPr>
            <w:tcW w:type="dxa" w:w="1750"/>
            <w:tcMar>
              <w:top w:w="70" w:type="dxa"/>
              <w:start w:w="120" w:type="dxa"/>
              <w:bottom w:w="70" w:type="dxa"/>
              <w:end w:w="120" w:type="dxa"/>
            </w:tcMar>
            <w:vAlign w:val="center"/>
          </w:tcPr>
          <w:p>
            <w:pPr>
              <w:spacing w:before="0" w:after="0" w:line="252" w:lineRule="auto"/>
            </w:pPr>
            <w:r>
              <w:rPr>
                <w:rFonts w:ascii="Calibri" w:hAnsi="Calibri"/>
                <w:b w:val="0"/>
                <w:color w:val="202A33"/>
                <w:sz w:val="18"/>
              </w:rPr>
              <w:t>O1 Pro</w:t>
            </w:r>
          </w:p>
        </w:tc>
        <w:tc>
          <w:tcPr>
            <w:tcW w:type="dxa" w:w="5460"/>
            <w:tcMar>
              <w:top w:w="70" w:type="dxa"/>
              <w:start w:w="120" w:type="dxa"/>
              <w:bottom w:w="70" w:type="dxa"/>
              <w:end w:w="120" w:type="dxa"/>
            </w:tcMar>
            <w:vAlign w:val="center"/>
          </w:tcPr>
          <w:p>
            <w:pPr>
              <w:spacing w:before="0" w:after="0" w:line="252" w:lineRule="auto"/>
            </w:pPr>
            <w:r>
              <w:rPr>
                <w:rFonts w:ascii="Calibri" w:hAnsi="Calibri"/>
                <w:b w:val="0"/>
                <w:color w:val="202A33"/>
                <w:sz w:val="18"/>
              </w:rPr>
              <w:t>Potential 500-module throughput; requires sampling and escalation because no retained accuracy percentage was documented.</w:t>
            </w:r>
          </w:p>
        </w:tc>
      </w:tr>
      <w:tr>
        <w:trPr>
          <w:cantSplit w:val="true"/>
        </w:trPr>
        <w:tc>
          <w:tcPr>
            <w:tcW w:type="dxa" w:w="2150"/>
            <w:shd w:fill="FBECEC"/>
            <w:tcMar>
              <w:top w:w="70" w:type="dxa"/>
              <w:start w:w="120" w:type="dxa"/>
              <w:bottom w:w="70" w:type="dxa"/>
              <w:end w:w="120" w:type="dxa"/>
            </w:tcMar>
            <w:vAlign w:val="center"/>
          </w:tcPr>
          <w:p>
            <w:pPr>
              <w:spacing w:before="0" w:after="0" w:line="252" w:lineRule="auto"/>
            </w:pPr>
            <w:r>
              <w:rPr>
                <w:rFonts w:ascii="Calibri" w:hAnsi="Calibri"/>
                <w:b w:val="0"/>
                <w:color w:val="202A33"/>
                <w:sz w:val="18"/>
              </w:rPr>
              <w:t>Retired baseline</w:t>
            </w:r>
          </w:p>
        </w:tc>
        <w:tc>
          <w:tcPr>
            <w:tcW w:type="dxa" w:w="1750"/>
            <w:shd w:fill="FBECEC"/>
            <w:tcMar>
              <w:top w:w="70" w:type="dxa"/>
              <w:start w:w="120" w:type="dxa"/>
              <w:bottom w:w="70" w:type="dxa"/>
              <w:end w:w="120" w:type="dxa"/>
            </w:tcMar>
            <w:vAlign w:val="center"/>
          </w:tcPr>
          <w:p>
            <w:pPr>
              <w:spacing w:before="0" w:after="0" w:line="252" w:lineRule="auto"/>
            </w:pPr>
            <w:r>
              <w:rPr>
                <w:rFonts w:ascii="Calibri" w:hAnsi="Calibri"/>
                <w:b w:val="0"/>
                <w:color w:val="202A33"/>
                <w:sz w:val="18"/>
              </w:rPr>
              <w:t>GPT-4 baseline</w:t>
            </w:r>
          </w:p>
        </w:tc>
        <w:tc>
          <w:tcPr>
            <w:tcW w:type="dxa" w:w="5460"/>
            <w:shd w:fill="FBECEC"/>
            <w:tcMar>
              <w:top w:w="70" w:type="dxa"/>
              <w:start w:w="120" w:type="dxa"/>
              <w:bottom w:w="70" w:type="dxa"/>
              <w:end w:w="120" w:type="dxa"/>
            </w:tcMar>
            <w:vAlign w:val="center"/>
          </w:tcPr>
          <w:p>
            <w:pPr>
              <w:spacing w:before="0" w:after="0" w:line="252" w:lineRule="auto"/>
            </w:pPr>
            <w:r>
              <w:rPr>
                <w:rFonts w:ascii="Calibri" w:hAnsi="Calibri"/>
                <w:b w:val="0"/>
                <w:color w:val="202A33"/>
                <w:sz w:val="18"/>
              </w:rPr>
              <w:t>Higher observed variation and repeated concern about imaginative interpretation of qualitative criteria.</w:t>
            </w:r>
          </w:p>
        </w:tc>
      </w:tr>
    </w:tbl>
    <w:p>
      <w:pPr>
        <w:spacing w:after="0"/>
      </w:pPr>
    </w:p>
    <w:p>
      <w:pPr>
        <w:spacing w:before="120" w:after="200" w:line="269" w:lineRule="auto"/>
        <w:ind w:left="259" w:right="144"/>
        <w:shd w:fill="E8F4F2"/>
        <w:pBdr>
          <w:left w:val="single" w:sz="18" w:space="8" w:color="1F7A78"/>
        </w:pBdr>
      </w:pPr>
      <w:r>
        <w:rPr>
          <w:rFonts w:ascii="Calibri" w:hAnsi="Calibri"/>
          <w:b/>
          <w:color w:val="1F7A78"/>
          <w:sz w:val="19"/>
        </w:rPr>
        <w:t xml:space="preserve">BOTTOM LINE  </w:t>
      </w:r>
      <w:r>
        <w:rPr>
          <w:rFonts w:ascii="Calibri" w:hAnsi="Calibri"/>
          <w:color w:val="202A33"/>
          <w:sz w:val="22"/>
        </w:rPr>
        <w:t>For repeatable qualitative tagging, o3-mini-high was the best measured production choice. Full O3 remained the quality backstop, while GPT-4.5 and O1 Pro were assigned narrower supporting roles.</w:t>
      </w:r>
    </w:p>
    <w:p>
      <w:r>
        <w:br w:type="page"/>
      </w:r>
    </w:p>
    <w:p>
      <w:pPr>
        <w:pStyle w:val="Heading1"/>
        <w:keepNext/>
      </w:pPr>
      <w:r>
        <w:t>8. What the team learned</w:t>
      </w:r>
    </w:p>
    <w:p>
      <w:pPr>
        <w:pStyle w:val="ListBullet"/>
        <w:ind w:left="720" w:hanging="360"/>
      </w:pPr>
      <w:r>
        <w:t>Model choice mattered, but prompt architecture also materially changed behavior.</w:t>
      </w:r>
    </w:p>
    <w:p>
      <w:pPr>
        <w:pStyle w:val="ListBullet"/>
        <w:ind w:left="720" w:hanging="360"/>
      </w:pPr>
      <w:r>
        <w:t>A single final score could conceal significant changes in criterion-level reasoning.</w:t>
      </w:r>
    </w:p>
    <w:p>
      <w:pPr>
        <w:pStyle w:val="ListBullet"/>
        <w:ind w:left="720" w:hanging="360"/>
      </w:pPr>
      <w:r>
        <w:t>Repeated-score concentration was a useful diagnostic for evaluator laziness or anchoring.</w:t>
      </w:r>
    </w:p>
    <w:p>
      <w:pPr>
        <w:pStyle w:val="ListBullet"/>
        <w:ind w:left="720" w:hanging="360"/>
      </w:pPr>
      <w:r>
        <w:t>Throughput claims needed to be separated from measured reliability.</w:t>
      </w:r>
    </w:p>
    <w:p>
      <w:pPr>
        <w:pStyle w:val="ListBullet"/>
        <w:ind w:left="720" w:hanging="360"/>
      </w:pPr>
      <w:r>
        <w:t>The final workflow benefited from routing work by task type instead of asking one model to do everything.</w:t>
      </w:r>
    </w:p>
    <w:p>
      <w:pPr>
        <w:pStyle w:val="Heading1"/>
        <w:keepNext/>
      </w:pPr>
      <w:r>
        <w:t>Evidence and limitations</w:t>
      </w:r>
    </w:p>
    <w:p>
      <w:pPr>
        <w:keepNext w:val="0"/>
        <w:spacing w:before="0" w:after="120" w:line="264" w:lineRule="auto"/>
        <w:jc w:val="left"/>
      </w:pPr>
      <w:r>
        <w:rPr>
          <w:rFonts w:ascii="Calibri" w:hAnsi="Calibri"/>
          <w:b w:val="0"/>
          <w:i w:val="0"/>
          <w:color w:val="202A33"/>
          <w:sz w:val="22"/>
        </w:rPr>
        <w:t>This mini case study reconstructs the evaluation from retained ChatGPT thread exports and a later process summary. The original run-level dataset, sample sizes behind the 35% and 50% variation figures, and a direct percentage result for GPT-4.5, full O3, and O1 Pro were not retained in the reviewed files. Those models are therefore presented with qualitative outcomes only. The 50% and 65% alignment values are explicitly derived as the complement of recorded variation.</w:t>
      </w:r>
    </w:p>
    <w:p>
      <w:pPr>
        <w:pStyle w:val="Heading2"/>
        <w:keepNext/>
      </w:pPr>
      <w:r>
        <w:t>Source threads</w:t>
      </w:r>
    </w:p>
    <w:tbl>
      <w:tblPr>
        <w:tblW w:type="dxa" w:w="9360"/>
        <w:jc w:val="left"/>
        <w:tblLayout w:type="fixed"/>
        <w:tblLook w:firstColumn="1" w:firstRow="1" w:lastColumn="0" w:lastRow="0" w:noHBand="0" w:noVBand="1" w:val="04A0"/>
        <w:tblInd w:w="120" w:type="dxa"/>
        <w:tblBorders>
          <w:top w:val="single" w:sz="6" w:space="0" w:color="D6DEE5"/>
          <w:left w:val="single" w:sz="6" w:space="0" w:color="D6DEE5"/>
          <w:bottom w:val="single" w:sz="6" w:space="0" w:color="D6DEE5"/>
          <w:right w:val="single" w:sz="6" w:space="0" w:color="D6DEE5"/>
          <w:insideH w:val="single" w:sz="6" w:space="0" w:color="D6DEE5"/>
          <w:insideV w:val="single" w:sz="6" w:space="0" w:color="D6DEE5"/>
        </w:tblBorders>
      </w:tblPr>
      <w:tblGrid>
        <w:gridCol w:w="2700"/>
        <w:gridCol w:w="1250"/>
        <w:gridCol w:w="5410"/>
      </w:tblGrid>
      <w:tr>
        <w:trPr>
          <w:tblHeader w:val="true"/>
          <w:cantSplit w:val="true"/>
        </w:trPr>
        <w:tc>
          <w:tcPr>
            <w:tcW w:type="dxa" w:w="2700"/>
            <w:tcMar>
              <w:top w:w="70" w:type="dxa"/>
              <w:start w:w="120" w:type="dxa"/>
              <w:bottom w:w="70" w:type="dxa"/>
              <w:end w:w="120" w:type="dxa"/>
            </w:tcMar>
            <w:vAlign w:val="center"/>
            <w:shd w:fill="173B57"/>
          </w:tcPr>
          <w:p>
            <w:pPr>
              <w:spacing w:before="0" w:after="0" w:line="252" w:lineRule="auto"/>
            </w:pPr>
            <w:r>
              <w:rPr>
                <w:rFonts w:ascii="Calibri" w:hAnsi="Calibri"/>
                <w:b/>
                <w:color w:val="FFFFFF"/>
                <w:sz w:val="18"/>
              </w:rPr>
              <w:t>Thread</w:t>
            </w:r>
          </w:p>
        </w:tc>
        <w:tc>
          <w:tcPr>
            <w:tcW w:type="dxa" w:w="1250"/>
            <w:tcMar>
              <w:top w:w="70" w:type="dxa"/>
              <w:start w:w="120" w:type="dxa"/>
              <w:bottom w:w="70" w:type="dxa"/>
              <w:end w:w="120" w:type="dxa"/>
            </w:tcMar>
            <w:vAlign w:val="center"/>
            <w:shd w:fill="173B57"/>
          </w:tcPr>
          <w:p>
            <w:pPr>
              <w:spacing w:before="0" w:after="0" w:line="252" w:lineRule="auto"/>
            </w:pPr>
            <w:r>
              <w:rPr>
                <w:rFonts w:ascii="Calibri" w:hAnsi="Calibri"/>
                <w:b/>
                <w:color w:val="FFFFFF"/>
                <w:sz w:val="18"/>
              </w:rPr>
              <w:t>Date</w:t>
            </w:r>
          </w:p>
        </w:tc>
        <w:tc>
          <w:tcPr>
            <w:tcW w:type="dxa" w:w="5410"/>
            <w:tcMar>
              <w:top w:w="70" w:type="dxa"/>
              <w:start w:w="120" w:type="dxa"/>
              <w:bottom w:w="70" w:type="dxa"/>
              <w:end w:w="120" w:type="dxa"/>
            </w:tcMar>
            <w:vAlign w:val="center"/>
            <w:shd w:fill="173B57"/>
          </w:tcPr>
          <w:p>
            <w:pPr>
              <w:spacing w:before="0" w:after="0" w:line="252" w:lineRule="auto"/>
            </w:pPr>
            <w:r>
              <w:rPr>
                <w:rFonts w:ascii="Calibri" w:hAnsi="Calibri"/>
                <w:b/>
                <w:color w:val="FFFFFF"/>
                <w:sz w:val="18"/>
              </w:rPr>
              <w:t>Evidence used</w:t>
            </w:r>
          </w:p>
        </w:tc>
      </w:tr>
      <w:tr>
        <w:trPr>
          <w:cantSplit w:val="true"/>
        </w:trPr>
        <w:tc>
          <w:tcPr>
            <w:tcW w:type="dxa" w:w="2700"/>
            <w:tcMar>
              <w:top w:w="70" w:type="dxa"/>
              <w:start w:w="120" w:type="dxa"/>
              <w:bottom w:w="70" w:type="dxa"/>
              <w:end w:w="120" w:type="dxa"/>
            </w:tcMar>
            <w:vAlign w:val="center"/>
          </w:tcPr>
          <w:p>
            <w:pPr>
              <w:spacing w:before="0" w:after="0" w:line="252" w:lineRule="auto"/>
            </w:pPr>
            <w:r>
              <w:rPr>
                <w:rFonts w:ascii="Calibri" w:hAnsi="Calibri"/>
                <w:b w:val="0"/>
                <w:color w:val="202A33"/>
                <w:sz w:val="17"/>
              </w:rPr>
              <w:t>D³ process</w:t>
            </w:r>
          </w:p>
        </w:tc>
        <w:tc>
          <w:tcPr>
            <w:tcW w:type="dxa" w:w="1250"/>
            <w:tcMar>
              <w:top w:w="70" w:type="dxa"/>
              <w:start w:w="120" w:type="dxa"/>
              <w:bottom w:w="70" w:type="dxa"/>
              <w:end w:w="120" w:type="dxa"/>
            </w:tcMar>
            <w:vAlign w:val="center"/>
          </w:tcPr>
          <w:p>
            <w:pPr>
              <w:spacing w:before="0" w:after="0" w:line="252" w:lineRule="auto"/>
            </w:pPr>
            <w:r>
              <w:rPr>
                <w:rFonts w:ascii="Calibri" w:hAnsi="Calibri"/>
                <w:b w:val="0"/>
                <w:color w:val="202A33"/>
                <w:sz w:val="17"/>
              </w:rPr>
              <w:t>2025-05-05</w:t>
            </w:r>
          </w:p>
        </w:tc>
        <w:tc>
          <w:tcPr>
            <w:tcW w:type="dxa" w:w="5410"/>
            <w:tcMar>
              <w:top w:w="70" w:type="dxa"/>
              <w:start w:w="120" w:type="dxa"/>
              <w:bottom w:w="70" w:type="dxa"/>
              <w:end w:w="120" w:type="dxa"/>
            </w:tcMar>
            <w:vAlign w:val="center"/>
          </w:tcPr>
          <w:p>
            <w:pPr>
              <w:spacing w:before="0" w:after="0" w:line="252" w:lineRule="auto"/>
            </w:pPr>
            <w:r>
              <w:rPr>
                <w:rFonts w:ascii="Calibri" w:hAnsi="Calibri"/>
                <w:b w:val="0"/>
                <w:color w:val="202A33"/>
                <w:sz w:val="17"/>
              </w:rPr>
              <w:t>Recorded ~35% variation for o3-mini-high and ~50% for the GPT-4 baseline; noted comparative model analysis and tagging accuracy.</w:t>
            </w:r>
          </w:p>
        </w:tc>
      </w:tr>
      <w:tr>
        <w:trPr>
          <w:cantSplit w:val="true"/>
        </w:trPr>
        <w:tc>
          <w:tcPr>
            <w:tcW w:type="dxa" w:w="2700"/>
            <w:shd w:fill="F2F4F7"/>
            <w:tcMar>
              <w:top w:w="70" w:type="dxa"/>
              <w:start w:w="120" w:type="dxa"/>
              <w:bottom w:w="70" w:type="dxa"/>
              <w:end w:w="120" w:type="dxa"/>
            </w:tcMar>
            <w:vAlign w:val="center"/>
          </w:tcPr>
          <w:p>
            <w:pPr>
              <w:spacing w:before="0" w:after="0" w:line="252" w:lineRule="auto"/>
            </w:pPr>
            <w:r>
              <w:rPr>
                <w:rFonts w:ascii="Calibri" w:hAnsi="Calibri"/>
                <w:b w:val="0"/>
                <w:color w:val="202A33"/>
                <w:sz w:val="17"/>
              </w:rPr>
              <w:t>Categorical Module Evaluation Strategy</w:t>
            </w:r>
          </w:p>
        </w:tc>
        <w:tc>
          <w:tcPr>
            <w:tcW w:type="dxa" w:w="1250"/>
            <w:shd w:fill="F2F4F7"/>
            <w:tcMar>
              <w:top w:w="70" w:type="dxa"/>
              <w:start w:w="120" w:type="dxa"/>
              <w:bottom w:w="70" w:type="dxa"/>
              <w:end w:w="120" w:type="dxa"/>
            </w:tcMar>
            <w:vAlign w:val="center"/>
          </w:tcPr>
          <w:p>
            <w:pPr>
              <w:spacing w:before="0" w:after="0" w:line="252" w:lineRule="auto"/>
            </w:pPr>
            <w:r>
              <w:rPr>
                <w:rFonts w:ascii="Calibri" w:hAnsi="Calibri"/>
                <w:b w:val="0"/>
                <w:color w:val="202A33"/>
                <w:sz w:val="17"/>
              </w:rPr>
              <w:t>2025-03-25</w:t>
            </w:r>
          </w:p>
        </w:tc>
        <w:tc>
          <w:tcPr>
            <w:tcW w:type="dxa" w:w="5410"/>
            <w:shd w:fill="F2F4F7"/>
            <w:tcMar>
              <w:top w:w="70" w:type="dxa"/>
              <w:start w:w="120" w:type="dxa"/>
              <w:bottom w:w="70" w:type="dxa"/>
              <w:end w:w="120" w:type="dxa"/>
            </w:tcMar>
            <w:vAlign w:val="center"/>
          </w:tcPr>
          <w:p>
            <w:pPr>
              <w:spacing w:before="0" w:after="0" w:line="252" w:lineRule="auto"/>
            </w:pPr>
            <w:r>
              <w:rPr>
                <w:rFonts w:ascii="Calibri" w:hAnsi="Calibri"/>
                <w:b w:val="0"/>
                <w:color w:val="202A33"/>
                <w:sz w:val="17"/>
              </w:rPr>
              <w:t>Model shortlist; repeated score of 153; 17 of 30 modules at 153; Module 37 two-run comparison.</w:t>
            </w:r>
          </w:p>
        </w:tc>
      </w:tr>
      <w:tr>
        <w:trPr>
          <w:cantSplit w:val="true"/>
        </w:trPr>
        <w:tc>
          <w:tcPr>
            <w:tcW w:type="dxa" w:w="2700"/>
            <w:tcMar>
              <w:top w:w="70" w:type="dxa"/>
              <w:start w:w="120" w:type="dxa"/>
              <w:bottom w:w="70" w:type="dxa"/>
              <w:end w:w="120" w:type="dxa"/>
            </w:tcMar>
            <w:vAlign w:val="center"/>
          </w:tcPr>
          <w:p>
            <w:pPr>
              <w:spacing w:before="0" w:after="0" w:line="252" w:lineRule="auto"/>
            </w:pPr>
            <w:r>
              <w:rPr>
                <w:rFonts w:ascii="Calibri" w:hAnsi="Calibri"/>
                <w:b w:val="0"/>
                <w:color w:val="202A33"/>
                <w:sz w:val="17"/>
              </w:rPr>
              <w:t>Research Synthesis 1</w:t>
            </w:r>
          </w:p>
        </w:tc>
        <w:tc>
          <w:tcPr>
            <w:tcW w:type="dxa" w:w="1250"/>
            <w:tcMar>
              <w:top w:w="70" w:type="dxa"/>
              <w:start w:w="120" w:type="dxa"/>
              <w:bottom w:w="70" w:type="dxa"/>
              <w:end w:w="120" w:type="dxa"/>
            </w:tcMar>
            <w:vAlign w:val="center"/>
          </w:tcPr>
          <w:p>
            <w:pPr>
              <w:spacing w:before="0" w:after="0" w:line="252" w:lineRule="auto"/>
            </w:pPr>
            <w:r>
              <w:rPr>
                <w:rFonts w:ascii="Calibri" w:hAnsi="Calibri"/>
                <w:b w:val="0"/>
                <w:color w:val="202A33"/>
                <w:sz w:val="17"/>
              </w:rPr>
              <w:t>2025-03-17</w:t>
            </w:r>
          </w:p>
        </w:tc>
        <w:tc>
          <w:tcPr>
            <w:tcW w:type="dxa" w:w="5410"/>
            <w:tcMar>
              <w:top w:w="70" w:type="dxa"/>
              <w:start w:w="120" w:type="dxa"/>
              <w:bottom w:w="70" w:type="dxa"/>
              <w:end w:w="120" w:type="dxa"/>
            </w:tcMar>
            <w:vAlign w:val="center"/>
          </w:tcPr>
          <w:p>
            <w:pPr>
              <w:spacing w:before="0" w:after="0" w:line="252" w:lineRule="auto"/>
            </w:pPr>
            <w:r>
              <w:rPr>
                <w:rFonts w:ascii="Calibri" w:hAnsi="Calibri"/>
                <w:b w:val="0"/>
                <w:color w:val="202A33"/>
                <w:sz w:val="17"/>
              </w:rPr>
              <w:t>Defined O3 as precision model and GPT-4.5 as creative counterfactual model.</w:t>
            </w:r>
          </w:p>
        </w:tc>
      </w:tr>
      <w:tr>
        <w:trPr>
          <w:cantSplit w:val="true"/>
        </w:trPr>
        <w:tc>
          <w:tcPr>
            <w:tcW w:type="dxa" w:w="2700"/>
            <w:shd w:fill="F2F4F7"/>
            <w:tcMar>
              <w:top w:w="70" w:type="dxa"/>
              <w:start w:w="120" w:type="dxa"/>
              <w:bottom w:w="70" w:type="dxa"/>
              <w:end w:w="120" w:type="dxa"/>
            </w:tcMar>
            <w:vAlign w:val="center"/>
          </w:tcPr>
          <w:p>
            <w:pPr>
              <w:spacing w:before="0" w:after="0" w:line="252" w:lineRule="auto"/>
            </w:pPr>
            <w:r>
              <w:rPr>
                <w:rFonts w:ascii="Calibri" w:hAnsi="Calibri"/>
                <w:b w:val="0"/>
                <w:color w:val="202A33"/>
                <w:sz w:val="17"/>
              </w:rPr>
              <w:t>Reducing Output Variability</w:t>
            </w:r>
          </w:p>
        </w:tc>
        <w:tc>
          <w:tcPr>
            <w:tcW w:type="dxa" w:w="1250"/>
            <w:shd w:fill="F2F4F7"/>
            <w:tcMar>
              <w:top w:w="70" w:type="dxa"/>
              <w:start w:w="120" w:type="dxa"/>
              <w:bottom w:w="70" w:type="dxa"/>
              <w:end w:w="120" w:type="dxa"/>
            </w:tcMar>
            <w:vAlign w:val="center"/>
          </w:tcPr>
          <w:p>
            <w:pPr>
              <w:spacing w:before="0" w:after="0" w:line="252" w:lineRule="auto"/>
            </w:pPr>
            <w:r>
              <w:rPr>
                <w:rFonts w:ascii="Calibri" w:hAnsi="Calibri"/>
                <w:b w:val="0"/>
                <w:color w:val="202A33"/>
                <w:sz w:val="17"/>
              </w:rPr>
              <w:t>2025-04-08</w:t>
            </w:r>
          </w:p>
        </w:tc>
        <w:tc>
          <w:tcPr>
            <w:tcW w:type="dxa" w:w="5410"/>
            <w:shd w:fill="F2F4F7"/>
            <w:tcMar>
              <w:top w:w="70" w:type="dxa"/>
              <w:start w:w="120" w:type="dxa"/>
              <w:bottom w:w="70" w:type="dxa"/>
              <w:end w:w="120" w:type="dxa"/>
            </w:tcMar>
            <w:vAlign w:val="center"/>
          </w:tcPr>
          <w:p>
            <w:pPr>
              <w:spacing w:before="0" w:after="0" w:line="252" w:lineRule="auto"/>
            </w:pPr>
            <w:r>
              <w:rPr>
                <w:rFonts w:ascii="Calibri" w:hAnsi="Calibri"/>
                <w:b w:val="0"/>
                <w:color w:val="202A33"/>
                <w:sz w:val="17"/>
              </w:rPr>
              <w:t>Compared O1 Pro, O3, and o3-mini-high for interpretive variability, batching, and throughput.</w:t>
            </w:r>
          </w:p>
        </w:tc>
      </w:tr>
      <w:tr>
        <w:trPr>
          <w:cantSplit w:val="true"/>
        </w:trPr>
        <w:tc>
          <w:tcPr>
            <w:tcW w:type="dxa" w:w="2700"/>
            <w:tcMar>
              <w:top w:w="70" w:type="dxa"/>
              <w:start w:w="120" w:type="dxa"/>
              <w:bottom w:w="70" w:type="dxa"/>
              <w:end w:w="120" w:type="dxa"/>
            </w:tcMar>
            <w:vAlign w:val="center"/>
          </w:tcPr>
          <w:p>
            <w:pPr>
              <w:spacing w:before="0" w:after="0" w:line="252" w:lineRule="auto"/>
            </w:pPr>
            <w:r>
              <w:rPr>
                <w:rFonts w:ascii="Calibri" w:hAnsi="Calibri"/>
                <w:b w:val="0"/>
                <w:color w:val="202A33"/>
                <w:sz w:val="17"/>
              </w:rPr>
              <w:t>GPT-4.5 vs GPT-4o Evaluation</w:t>
            </w:r>
          </w:p>
        </w:tc>
        <w:tc>
          <w:tcPr>
            <w:tcW w:type="dxa" w:w="1250"/>
            <w:tcMar>
              <w:top w:w="70" w:type="dxa"/>
              <w:start w:w="120" w:type="dxa"/>
              <w:bottom w:w="70" w:type="dxa"/>
              <w:end w:w="120" w:type="dxa"/>
            </w:tcMar>
            <w:vAlign w:val="center"/>
          </w:tcPr>
          <w:p>
            <w:pPr>
              <w:spacing w:before="0" w:after="0" w:line="252" w:lineRule="auto"/>
            </w:pPr>
            <w:r>
              <w:rPr>
                <w:rFonts w:ascii="Calibri" w:hAnsi="Calibri"/>
                <w:b w:val="0"/>
                <w:color w:val="202A33"/>
                <w:sz w:val="17"/>
              </w:rPr>
              <w:t>2025-04-13</w:t>
            </w:r>
          </w:p>
        </w:tc>
        <w:tc>
          <w:tcPr>
            <w:tcW w:type="dxa" w:w="5410"/>
            <w:tcMar>
              <w:top w:w="70" w:type="dxa"/>
              <w:start w:w="120" w:type="dxa"/>
              <w:bottom w:w="70" w:type="dxa"/>
              <w:end w:w="120" w:type="dxa"/>
            </w:tcMar>
            <w:vAlign w:val="center"/>
          </w:tcPr>
          <w:p>
            <w:pPr>
              <w:spacing w:before="0" w:after="0" w:line="252" w:lineRule="auto"/>
            </w:pPr>
            <w:r>
              <w:rPr>
                <w:rFonts w:ascii="Calibri" w:hAnsi="Calibri"/>
                <w:b w:val="0"/>
                <w:color w:val="202A33"/>
                <w:sz w:val="17"/>
              </w:rPr>
              <w:t>Documented concern that GPT-4o was too imaginative for qualitative tagging.</w:t>
            </w:r>
          </w:p>
        </w:tc>
      </w:tr>
      <w:tr>
        <w:trPr>
          <w:cantSplit w:val="true"/>
        </w:trPr>
        <w:tc>
          <w:tcPr>
            <w:tcW w:type="dxa" w:w="2700"/>
            <w:shd w:fill="F2F4F7"/>
            <w:tcMar>
              <w:top w:w="70" w:type="dxa"/>
              <w:start w:w="120" w:type="dxa"/>
              <w:bottom w:w="70" w:type="dxa"/>
              <w:end w:w="120" w:type="dxa"/>
            </w:tcMar>
            <w:vAlign w:val="center"/>
          </w:tcPr>
          <w:p>
            <w:pPr>
              <w:spacing w:before="0" w:after="0" w:line="252" w:lineRule="auto"/>
            </w:pPr>
            <w:r>
              <w:rPr>
                <w:rFonts w:ascii="Calibri" w:hAnsi="Calibri"/>
                <w:b w:val="0"/>
                <w:color w:val="202A33"/>
                <w:sz w:val="17"/>
              </w:rPr>
              <w:t>GPT Model Selection for Modality</w:t>
            </w:r>
          </w:p>
        </w:tc>
        <w:tc>
          <w:tcPr>
            <w:tcW w:type="dxa" w:w="1250"/>
            <w:shd w:fill="F2F4F7"/>
            <w:tcMar>
              <w:top w:w="70" w:type="dxa"/>
              <w:start w:w="120" w:type="dxa"/>
              <w:bottom w:w="70" w:type="dxa"/>
              <w:end w:w="120" w:type="dxa"/>
            </w:tcMar>
            <w:vAlign w:val="center"/>
          </w:tcPr>
          <w:p>
            <w:pPr>
              <w:spacing w:before="0" w:after="0" w:line="252" w:lineRule="auto"/>
            </w:pPr>
            <w:r>
              <w:rPr>
                <w:rFonts w:ascii="Calibri" w:hAnsi="Calibri"/>
                <w:b w:val="0"/>
                <w:color w:val="202A33"/>
                <w:sz w:val="17"/>
              </w:rPr>
              <w:t>2025-04-02</w:t>
            </w:r>
          </w:p>
        </w:tc>
        <w:tc>
          <w:tcPr>
            <w:tcW w:type="dxa" w:w="5410"/>
            <w:shd w:fill="F2F4F7"/>
            <w:tcMar>
              <w:top w:w="70" w:type="dxa"/>
              <w:start w:w="120" w:type="dxa"/>
              <w:bottom w:w="70" w:type="dxa"/>
              <w:end w:w="120" w:type="dxa"/>
            </w:tcMar>
            <w:vAlign w:val="center"/>
          </w:tcPr>
          <w:p>
            <w:pPr>
              <w:spacing w:before="0" w:after="0" w:line="252" w:lineRule="auto"/>
            </w:pPr>
            <w:r>
              <w:rPr>
                <w:rFonts w:ascii="Calibri" w:hAnsi="Calibri"/>
                <w:b w:val="0"/>
                <w:color w:val="202A33"/>
                <w:sz w:val="17"/>
              </w:rPr>
              <w:t>Compared GPT-4o and o3-mini-high on abstraction, contamination, and label variance.</w:t>
            </w:r>
          </w:p>
        </w:tc>
      </w:tr>
    </w:tbl>
    <w:p>
      <w:pPr>
        <w:spacing w:after="0"/>
      </w:pPr>
    </w:p>
    <w:p>
      <w:pPr>
        <w:keepNext w:val="0"/>
        <w:spacing w:before="60" w:after="180" w:line="240" w:lineRule="auto"/>
        <w:jc w:val="left"/>
      </w:pPr>
      <w:r>
        <w:rPr>
          <w:rFonts w:ascii="Calibri" w:hAnsi="Calibri"/>
          <w:b w:val="0"/>
          <w:i/>
          <w:color w:val="5B6770"/>
          <w:sz w:val="18"/>
        </w:rPr>
        <w:t>Prepared from files in HBS/Chat Threads. Percentages should be treated as internal directional evidence, not general model benchmarks.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770"/>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line="240" w:lineRule="auto"/>
      <w:pBdr>
        <w:bottom w:val="single" w:sz="6" w:space="4" w:color="D6DEE5"/>
      </w:pBdr>
    </w:pPr>
    <w:r>
      <w:rPr>
        <w:rFonts w:ascii="Calibri" w:hAnsi="Calibri"/>
        <w:b/>
        <w:color w:val="5B6770"/>
        <w:sz w:val="17"/>
      </w:rPr>
      <w:t>MINI CASE STUDY</w:t>
    </w:r>
    <w:r>
      <w:rPr>
        <w:rFonts w:ascii="Calibri" w:hAnsi="Calibri"/>
        <w:b/>
        <w:color w:val="5B6770"/>
        <w:sz w:val="17"/>
      </w:rPr>
      <w:tab/>
      <w:t>MODEL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A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Evaluation Mini Case Study</dc:title>
  <dc:subject>Practical outcomes of iterative model evaluation for qualitative tagging</dc:subject>
  <dc:creator>HBS Research Project</dc:creator>
  <cp:keywords>model evaluation, qualitative tagging, O3, o3-mini-high, GPT-4.5, O1 Pro</cp:keywords>
  <dc:description>generated by python-docx</dc:description>
  <cp:lastModifiedBy/>
  <cp:revision>1</cp:revision>
  <dcterms:created xsi:type="dcterms:W3CDTF">2013-12-23T23:15:00Z</dcterms:created>
  <dcterms:modified xsi:type="dcterms:W3CDTF">2013-12-23T23:15:00Z</dcterms:modified>
  <cp:category/>
</cp:coreProperties>
</file>