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pStyle w:val="Title"/>
      </w:pPr>
      <w:r>
        <w:t xml:space="preserve">ACME-ADCS: Implementation Guide</w:t>
      </w:r>
    </w:p>
    <w:p>
      <w:pPr>
        <w:pStyle w:val="Subtitle"/>
      </w:pPr>
      <w:r>
        <w:t xml:space="preserve">Step-by-step setup of an ACME (RFC 8555) server backed by Active Directory Certificate Services, hosted on IIS, with a non-domain test client. Based on </w:t>
      </w:r>
      <w:hyperlink r:id="rId8" w:history="1">
        <w:r>
          <w:rPr>
            <w:rStyle w:val="Hyperlink"/>
          </w:rPr>
          <w:t>glatzert/ACME-Server-ADCS</w:t>
        </w:r>
      </w:hyperlink>
      <w:r>
        <w:t xml:space="preserve">.</w:t>
      </w:r>
    </w:p>
    <w:p>
      <w:pPr>
        <w:pStyle w:val="Heading1"/>
      </w:pPr>
      <w:r>
        <w:t xml:space="preserve">Overview</w:t>
      </w:r>
    </w:p>
    <w:p>
      <w:r>
        <w:t xml:space="preserve">The ACME server is the only machine that talks to the CA. The client never authenticates to AD, so domain join isn't needed.</w:t>
      </w:r>
    </w:p>
    <w:p>
      <w:pPr>
        <w:pStyle w:val="Figure"/>
      </w:pPr>
      <w:r>
        <w:drawing>
          <wp:inline>
            <wp:extent cx="5734050" cy="2830790"/>
            <wp:docPr id="1" name="Screenshot 1" descr="Components and the protocol on each link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Screenshot 1" descr="Components and the protocol on each link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83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1. </w:t>
      </w:r>
      <w:r>
        <w:t>Components and the protocol on each link</w:t>
      </w:r>
    </w:p>
    <w:p>
      <w:r>
        <w:t xml:space="preserve">The second diagram follows one request in order, from the non-domain test client through to the issued certificate.</w:t>
      </w:r>
    </w:p>
    <w:p>
      <w:pPr>
        <w:pStyle w:val="Figure"/>
      </w:pPr>
      <w:r>
        <w:drawing>
          <wp:inline>
            <wp:extent cx="5734050" cy="5059189"/>
            <wp:docPr id="1" name="Drawing 1" descr="e9adf1fe359fe09df98a7804cd02916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9adf1fe359fe09df98a7804cd02916d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05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2. </w:t>
      </w:r>
      <w:r>
        <w:t>Request flow from the non-domain test client to the issued certificate</w:t>
      </w:r>
    </w:p>
    <w:p>
      <w:r>
        <w:t xml:space="preserve">Each phase and the process responsible:</w:t>
      </w:r>
    </w:p>
    <w:tbl>
      <w:tblPr>
        <w:tblW w:w="903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300"/>
        <w:gridCol w:w="4730"/>
        <w:gridCol w:w="3000"/>
      </w:tblGrid>
      <w:tr>
        <w:trPr>
          <w:cantSplit/>
          <w:tblHeader/>
        </w:trPr>
        <w:tc>
          <w:tcPr>
            <w:tcW w:w="1300" w:type="dxa"/>
            <w:shd w:val="clear" w:color="auto" w:fill="F6F8FA"/>
          </w:tcPr>
          <w:p>
            <w:pPr>
              <w:pStyle w:val="TableText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w="4730" w:type="dxa"/>
            <w:shd w:val="clear" w:color="auto" w:fill="F6F8FA"/>
          </w:tcPr>
          <w:p>
            <w:pPr>
              <w:pStyle w:val="TableText"/>
            </w:pPr>
            <w:r>
              <w:rPr>
                <w:b/>
                <w:bCs/>
              </w:rPr>
              <w:t xml:space="preserve">What happens</w:t>
            </w:r>
          </w:p>
        </w:tc>
        <w:tc>
          <w:tcPr>
            <w:tcW w:w="3000" w:type="dxa"/>
            <w:shd w:val="clear" w:color="auto" w:fill="F6F8FA"/>
          </w:tcPr>
          <w:p>
            <w:pPr>
              <w:pStyle w:val="TableText"/>
            </w:pPr>
            <w:r>
              <w:rPr>
                <w:b/>
                <w:bCs/>
              </w:rPr>
              <w:t xml:space="preserve">Protocol and process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TableText"/>
            </w:pPr>
            <w:r>
              <w:t xml:space="preserve">Order</w:t>
            </w:r>
          </w:p>
        </w:tc>
        <w:tc>
          <w:tcPr>
            <w:tcW w:w="4730" w:type="dxa"/>
          </w:tcPr>
          <w:p>
            <w:pPr>
              <w:pStyle w:val="TableText"/>
            </w:pPr>
            <w:r>
              <w:t xml:space="preserve">The client finds the ACME server by name, trusts its HTTPS certificate (root CA imported), registers an account and creates an order.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DNS 53, HTTPS 443; Posh-ACME signs each request (JWS)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TableText"/>
            </w:pPr>
            <w:r>
              <w:t xml:space="preserve">Validation</w:t>
            </w:r>
          </w:p>
        </w:tc>
        <w:tc>
          <w:tcPr>
            <w:tcW w:w="4730" w:type="dxa"/>
          </w:tcPr>
          <w:p>
            <w:pPr>
              <w:pStyle w:val="TableText"/>
            </w:pPr>
            <w:r>
              <w:t xml:space="preserve">The ACME server proves the client controls the name. It resolves the client's name, then fetches the token file from the client.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DNS 53, HTTP 80; Posh-ACME WebSelfHost serves the token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TableText"/>
            </w:pPr>
            <w:r>
              <w:t xml:space="preserve">Issuance</w:t>
            </w:r>
          </w:p>
        </w:tc>
        <w:tc>
          <w:tcPr>
            <w:tcW w:w="4730" w:type="dxa"/>
          </w:tcPr>
          <w:p>
            <w:pPr>
              <w:pStyle w:val="TableText"/>
            </w:pPr>
            <w:r>
              <w:t xml:space="preserve">The client sends a CSR. The ACME server submits it to the CA as </w:t>
            </w:r>
            <w:r>
              <w:rPr>
                <w:rStyle w:val="InlineCode"/>
              </w:rPr>
              <w:t xml:space="preserve">svc-acme$</w:t>
            </w:r>
            <w:r>
              <w:t xml:space="preserve">. The CA checks the template's permissions in AD, signs the request and returns the certificate.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DCOM/RPC (ICertRequest2), Kerberos for the gMSA, LDAP for the template ACL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TableText"/>
            </w:pPr>
            <w:r>
              <w:t xml:space="preserve">Delivery</w:t>
            </w:r>
          </w:p>
        </w:tc>
        <w:tc>
          <w:tcPr>
            <w:tcW w:w="4730" w:type="dxa"/>
          </w:tcPr>
          <w:p>
            <w:pPr>
              <w:pStyle w:val="TableText"/>
            </w:pPr>
            <w:r>
              <w:t xml:space="preserve">The ACME server hands the signed certificate chain back to the client.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HTTPS 443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Phase 1: Identity (AD)</w:t>
      </w:r>
    </w:p>
    <w:p>
      <w:pPr>
        <w:pStyle w:val="Heading2"/>
      </w:pPr>
      <w:r>
        <w:t xml:space="preserve">1. Create the gMSA</w:t>
      </w:r>
    </w:p>
    <w:p>
      <w:r>
        <w:t xml:space="preserve">Run on a domain controller or admin workstation.</w:t>
      </w:r>
    </w:p>
    <w:p>
      <w:pPr>
        <w:pStyle w:val="Code"/>
      </w:pPr>
      <w:r>
        <w:t xml:space="preserve">New-ADServiceAccount -Name svc-acme -DNSHostName qs-ra-acme.quantumspace.com `</w:t>
      </w:r>
    </w:p>
    <w:p>
      <w:pPr>
        <w:pStyle w:val="CodeLast"/>
      </w:pPr>
      <w:r>
        <w:t xml:space="preserve">    -PrincipalsAllowedToRetrieveManagedPassword 'QS-RA-ACME$'</w:t>
      </w:r>
    </w:p>
    <w:p>
      <w:pPr>
        <w:pStyle w:val="Heading2"/>
      </w:pPr>
      <w:r>
        <w:t xml:space="preserve">2. Install the gMSA on the ACME server</w:t>
      </w:r>
    </w:p>
    <w:p>
      <w:pPr>
        <w:pStyle w:val="Code"/>
      </w:pPr>
      <w:r>
        <w:t xml:space="preserve">Install-WindowsFeature RSAT-AD-PowerShell</w:t>
      </w:r>
    </w:p>
    <w:p>
      <w:pPr>
        <w:pStyle w:val="Code"/>
      </w:pPr>
      <w:r>
        <w:t xml:space="preserve">Install-ADServiceAccount svc-acme</w:t>
      </w:r>
    </w:p>
    <w:p>
      <w:pPr>
        <w:pStyle w:val="CodeLast"/>
      </w:pPr>
      <w:r>
        <w:t xml:space="preserve">Test-ADServiceAccount svc-acme   # must return True</w:t>
      </w:r>
    </w:p>
    <w:p>
      <w:r>
        <w:t xml:space="preserve">Reboot the ACME server afterwards. If the test returned False, re-run it after the reboot.</w:t>
      </w:r>
    </w:p>
    <w:p>
      <w:pPr>
        <w:pStyle w:val="Heading1"/>
      </w:pPr>
      <w:r>
        <w:t xml:space="preserve">Phase 2: CA side (certificate template)</w:t>
      </w:r>
    </w:p>
    <w:p>
      <w:pPr>
        <w:pStyle w:val="Heading2"/>
      </w:pPr>
      <w:r>
        <w:t xml:space="preserve">3. Create the template</w:t>
      </w:r>
    </w:p>
    <w:p>
      <w:r>
        <w:t xml:space="preserve">On the CA, open </w:t>
      </w:r>
      <w:r>
        <w:rPr>
          <w:rStyle w:val="InlineCode"/>
        </w:rPr>
        <w:t xml:space="preserve">certtmpl.msc</w:t>
      </w:r>
      <w:r>
        <w:t xml:space="preserve">, duplicate </w:t>
      </w:r>
      <w:r>
        <w:rPr>
          <w:b/>
          <w:bCs/>
        </w:rPr>
        <w:t xml:space="preserve">Web Server</w:t>
      </w:r>
      <w:r>
        <w:t xml:space="preserve">, then set:</w:t>
      </w:r>
    </w:p>
    <w:p>
      <w:pPr>
        <w:pStyle w:val="ListBullet"/>
      </w:pPr>
      <w:r>
        <w:rPr>
          <w:b/>
          <w:bCs/>
        </w:rPr>
        <w:t xml:space="preserve">Compatibility:</w:t>
      </w:r>
      <w:r>
        <w:t xml:space="preserve"> Windows Server 2016 or later (unlocks ECDSA/CNG).</w:t>
      </w:r>
    </w:p>
    <w:p>
      <w:pPr>
        <w:pStyle w:val="ListBullet"/>
      </w:pPr>
      <w:r>
        <w:rPr>
          <w:b/>
          <w:bCs/>
        </w:rPr>
        <w:t xml:space="preserve">Cryptography:</w:t>
      </w:r>
      <w:r>
        <w:t xml:space="preserve"> Key Storage Provider; allow RSA and ECDSA.</w:t>
      </w:r>
    </w:p>
    <w:p>
      <w:pPr>
        <w:pStyle w:val="ListBullet"/>
      </w:pPr>
      <w:r>
        <w:rPr>
          <w:b/>
          <w:bCs/>
        </w:rPr>
        <w:t xml:space="preserve">Subject Name:</w:t>
      </w:r>
      <w:r>
        <w:t xml:space="preserve"> </w:t>
      </w:r>
      <w:r>
        <w:rPr>
          <w:i/>
          <w:iCs/>
        </w:rPr>
        <w:t xml:space="preserve">Supply in the request</w:t>
      </w:r>
      <w:r>
        <w:t xml:space="preserve">.</w:t>
      </w:r>
    </w:p>
    <w:p>
      <w:pPr>
        <w:pStyle w:val="ListBullet"/>
      </w:pPr>
      <w:r>
        <w:rPr>
          <w:b/>
          <w:bCs/>
        </w:rPr>
        <w:t xml:space="preserve">Issuance Requirements:</w:t>
      </w:r>
      <w:r>
        <w:t xml:space="preserve"> no manager approval.</w:t>
      </w:r>
    </w:p>
    <w:p>
      <w:pPr>
        <w:pStyle w:val="ListBullet"/>
      </w:pPr>
      <w:r>
        <w:rPr>
          <w:b/>
          <w:bCs/>
        </w:rPr>
        <w:t xml:space="preserve">Security:</w:t>
      </w:r>
      <w:r>
        <w:t xml:space="preserve"> </w:t>
      </w:r>
      <w:r>
        <w:rPr>
          <w:rStyle w:val="InlineCode"/>
        </w:rPr>
        <w:t xml:space="preserve">svc-acme$</w:t>
      </w:r>
      <w:r>
        <w:t xml:space="preserve"> gets </w:t>
      </w:r>
      <w:r>
        <w:rPr>
          <w:b/>
          <w:bCs/>
        </w:rPr>
        <w:t xml:space="preserve">Read, Enroll, Autoenroll</w:t>
      </w:r>
      <w:r>
        <w:t xml:space="preserve">.</w:t>
      </w:r>
    </w:p>
    <w:p>
      <w:pPr>
        <w:pStyle w:val="Figure"/>
      </w:pPr>
      <w:r>
        <w:drawing>
          <wp:inline>
            <wp:extent cx="3429000" cy="4795080"/>
            <wp:docPr id="2" name="Drawing 2" descr="22b4d9e75428d30a231717a42b72bb9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2b4d9e75428d30a231717a42b72bb9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479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3. </w:t>
      </w:r>
      <w:r>
        <w:t>Certificate template properties</w:t>
      </w:r>
    </w:p>
    <w:p>
      <w:pPr>
        <w:pStyle w:val="Callout"/>
      </w:pPr>
      <w:r>
        <w:rPr>
          <w:b/>
          <w:bCs/>
        </w:rPr>
        <w:t xml:space="preserve">Note:</w:t>
      </w:r>
      <w:r>
        <w:t xml:space="preserve"> The Autoenroll permission on </w:t>
      </w:r>
      <w:r>
        <w:rPr>
          <w:rStyle w:val="InlineCode"/>
        </w:rPr>
        <w:t xml:space="preserve">svc-acme$</w:t>
      </w:r>
      <w:r>
        <w:t xml:space="preserve"> is required by the project for the process identity. It is not Group Policy autoenrollment, and clients never contact the CA.</w:t>
      </w:r>
    </w:p>
    <w:p>
      <w:pPr>
        <w:pStyle w:val="Heading2"/>
      </w:pPr>
      <w:r>
        <w:t xml:space="preserve">4. Publish the template</w:t>
      </w:r>
    </w:p>
    <w:p>
      <w:r>
        <w:t xml:space="preserve">CA console → Certificate Templates → New → Certificate Template to Issue. An unpublished template can't be requested, even with correct permissions.</w:t>
      </w:r>
    </w:p>
    <w:p>
      <w:pPr>
        <w:pStyle w:val="Heading2"/>
      </w:pPr>
      <w:r>
        <w:t xml:space="preserve">5. Check the CA is reachable from the ACME server</w:t>
      </w:r>
    </w:p>
    <w:p>
      <w:pPr>
        <w:pStyle w:val="CodeLast"/>
      </w:pPr>
      <w:r>
        <w:t xml:space="preserve">certutil -config "QS-SUB-CA1.Quantumspace.com\Quantumspace Issuing CA1" -ping</w:t>
      </w:r>
    </w:p>
    <w:p>
      <w:r>
        <w:t xml:space="preserve">This is the exact CA name used in the app configuration (step 12). If the ping fails, the config will fail too: check for a name typo, firewall (RPC/DCOM) or CA permissions.</w:t>
      </w:r>
    </w:p>
    <w:p>
      <w:pPr>
        <w:pStyle w:val="Heading1"/>
      </w:pPr>
      <w:r>
        <w:t xml:space="preserve">Phase 3: ACME server (IIS + .NET)</w:t>
      </w:r>
    </w:p>
    <w:p>
      <w:pPr>
        <w:pStyle w:val="Heading2"/>
      </w:pPr>
      <w:r>
        <w:t xml:space="preserve">6. Add the gMSA to IIS_IUSRS</w:t>
      </w:r>
    </w:p>
    <w:p>
      <w:pPr>
        <w:pStyle w:val="CodeLast"/>
      </w:pPr>
      <w:r>
        <w:t xml:space="preserve">Add-LocalGroupMember -Group IIS_IUSRS -Member 'QUANTUMSPACE\svc-acme$'</w:t>
      </w:r>
    </w:p>
    <w:p>
      <w:r>
        <w:t xml:space="preserve">This gives the app pool identity the standard IIS permissions.</w:t>
      </w:r>
    </w:p>
    <w:p>
      <w:pPr>
        <w:pStyle w:val="Heading2"/>
      </w:pPr>
      <w:r>
        <w:t xml:space="preserve">7. Install IIS, then the .NET Hosting Bundle (in that order)</w:t>
      </w:r>
    </w:p>
    <w:p>
      <w:pPr>
        <w:pStyle w:val="CodeLast"/>
      </w:pPr>
      <w:r>
        <w:t xml:space="preserve">Install-WindowsFeature Web-Server,Web-Http-Logging,Web-Request-Monitor,Web-Http-Tracing,Web-Filtering,Web-IP-Security,Web-Mgmt-Console</w:t>
      </w:r>
    </w:p>
    <w:p>
      <w:r>
        <w:t xml:space="preserve">Then install the </w:t>
      </w:r>
      <w:r>
        <w:rPr>
          <w:b/>
          <w:bCs/>
        </w:rPr>
        <w:t xml:space="preserve">.NET 8 (or 10) LTS Hosting Bundle</w:t>
      </w:r>
      <w:r>
        <w:t xml:space="preserve"> and run </w:t>
      </w:r>
      <w:r>
        <w:rPr>
          <w:rStyle w:val="InlineCode"/>
        </w:rPr>
        <w:t xml:space="preserve">iisreset</w:t>
      </w:r>
      <w:r>
        <w:t xml:space="preserve">.</w:t>
      </w:r>
    </w:p>
    <w:p>
      <w:pPr>
        <w:pStyle w:val="Heading2"/>
      </w:pPr>
      <w:r>
        <w:t xml:space="preserve">8. Get an HTTPS certificate for the ACME server</w:t>
      </w:r>
    </w:p>
    <w:p>
      <w:r>
        <w:t xml:space="preserve">In </w:t>
      </w:r>
      <w:r>
        <w:rPr>
          <w:rStyle w:val="InlineCode"/>
        </w:rPr>
        <w:t xml:space="preserve">certlm.msc</w:t>
      </w:r>
      <w:r>
        <w:t xml:space="preserve">, Request New Certificate, with CN/DNS = </w:t>
      </w:r>
      <w:r>
        <w:rPr>
          <w:rStyle w:val="InlineCode"/>
        </w:rPr>
        <w:t xml:space="preserve">qs-ra-acme.quantumspace.com</w:t>
      </w:r>
      <w:r>
        <w:t xml:space="preserve">. ACME clients only talk HTTPS, and a certificate from your own CA is trusted by every client that trusts your root.</w:t>
      </w:r>
    </w:p>
    <w:p>
      <w:pPr>
        <w:pStyle w:val="Figure"/>
      </w:pPr>
      <w:r>
        <w:drawing>
          <wp:inline>
            <wp:extent cx="5734050" cy="2455650"/>
            <wp:docPr id="3" name="Drawing 3" descr="8c2cf0cc8fbadbb1aabe812f1f7ff61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8c2cf0cc8fbadbb1aabe812f1f7ff61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4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4. </w:t>
      </w:r>
      <w:r>
        <w:t>Server certificate in the local computer store</w:t>
      </w:r>
    </w:p>
    <w:p>
      <w:pPr>
        <w:pStyle w:val="Heading2"/>
      </w:pPr>
      <w:r>
        <w:t xml:space="preserve">9. Deploy the app files</w:t>
      </w:r>
    </w:p>
    <w:p>
      <w:pPr>
        <w:pStyle w:val="ListBullet"/>
      </w:pPr>
      <w:r>
        <w:t xml:space="preserve">Download the </w:t>
      </w:r>
      <w:r>
        <w:rPr>
          <w:b/>
          <w:bCs/>
        </w:rPr>
        <w:t xml:space="preserve">release zip</w:t>
      </w:r>
      <w:r>
        <w:t xml:space="preserve"> (not "Source code") from the project's GitHub Releases: </w:t>
      </w:r>
      <w:hyperlink r:id="rId8" w:history="1">
        <w:r>
          <w:rPr>
            <w:rStyle w:val="Hyperlink"/>
          </w:rPr>
          <w:t>glatzert/ACME-Server-ADCS</w:t>
        </w:r>
      </w:hyperlink>
      <w:r>
        <w:t xml:space="preserve">.</w:t>
      </w:r>
    </w:p>
    <w:p>
      <w:pPr>
        <w:pStyle w:val="ListBullet"/>
      </w:pPr>
      <w:r>
        <w:t xml:space="preserve">Extract it directly into </w:t>
      </w:r>
      <w:r>
        <w:rPr>
          <w:rStyle w:val="InlineCode"/>
        </w:rPr>
        <w:t xml:space="preserve">C:\inetpub\acme</w:t>
      </w:r>
      <w:r>
        <w:t xml:space="preserve"> so </w:t>
      </w:r>
      <w:r>
        <w:rPr>
          <w:rStyle w:val="InlineCode"/>
        </w:rPr>
        <w:t xml:space="preserve">ACMEServer.ADCS.dll</w:t>
      </w:r>
      <w:r>
        <w:t xml:space="preserve"> and </w:t>
      </w:r>
      <w:r>
        <w:rPr>
          <w:rStyle w:val="InlineCode"/>
        </w:rPr>
        <w:t xml:space="preserve">web.config</w:t>
      </w:r>
      <w:r>
        <w:t xml:space="preserve"> sit at the top level.</w:t>
      </w:r>
    </w:p>
    <w:p>
      <w:pPr>
        <w:pStyle w:val="CodeLast"/>
      </w:pPr>
      <w:r>
        <w:t xml:space="preserve">Get-ChildItem C:\inetpub\acme -Recurse | Unblock-File</w:t>
      </w:r>
    </w:p>
    <w:p>
      <w:r>
        <w:t xml:space="preserve">A downloaded zip carries a block flag, so unblock the extracted files. If the files end up in a sub-folder, </w:t>
      </w:r>
      <w:r>
        <w:rPr>
          <w:rStyle w:val="InlineCode"/>
        </w:rPr>
        <w:t xml:space="preserve">web.config</w:t>
      </w:r>
      <w:r>
        <w:t xml:space="preserve"> won't find them.</w:t>
      </w:r>
    </w:p>
    <w:p>
      <w:pPr>
        <w:pStyle w:val="Heading2"/>
      </w:pPr>
      <w:r>
        <w:t xml:space="preserve">10. Create the data folder and set permissions</w:t>
      </w:r>
    </w:p>
    <w:p>
      <w:pPr>
        <w:pStyle w:val="Code"/>
      </w:pPr>
      <w:r>
        <w:t xml:space="preserve">New-Item -ItemType Directory C:\ACME-ADCS -Force</w:t>
      </w:r>
    </w:p>
    <w:p>
      <w:pPr>
        <w:pStyle w:val="Code"/>
      </w:pPr>
      <w:r>
        <w:t xml:space="preserve">icacls C:\ACME-ADCS /grant 'QUANTUMSPACE\svc-acme$:(OI)(CI)M'</w:t>
      </w:r>
    </w:p>
    <w:p>
      <w:pPr>
        <w:pStyle w:val="CodeLast"/>
      </w:pPr>
      <w:r>
        <w:t xml:space="preserve">icacls C:\inetpub\acme /grant 'QUANTUMSPACE\svc-acme$:(OI)(CI)RX'</w:t>
      </w:r>
    </w:p>
    <w:p>
      <w:pPr>
        <w:pStyle w:val="Figure"/>
      </w:pPr>
      <w:r>
        <w:drawing>
          <wp:inline>
            <wp:extent cx="5734050" cy="2604263"/>
            <wp:docPr id="4" name="Drawing 4" descr="835b59cd76466f4f4aa4486f0f0abb4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835b59cd76466f4f4aa4486f0f0abb4f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60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5. </w:t>
      </w:r>
      <w:r>
        <w:t>Folder permissions for the gMSA</w:t>
      </w:r>
    </w:p>
    <w:p>
      <w:r>
        <w:t xml:space="preserve">The app writes accounts, orders and challenges to </w:t>
      </w:r>
      <w:r>
        <w:rPr>
          <w:rStyle w:val="InlineCode"/>
        </w:rPr>
        <w:t xml:space="preserve">C:\ACME-ADCS</w:t>
      </w:r>
      <w:r>
        <w:t xml:space="preserve"> (Modify) but only reads its own program folder (Read and execute). Keeping data outside the web folder is safer.</w:t>
      </w:r>
    </w:p>
    <w:p>
      <w:pPr>
        <w:pStyle w:val="Heading2"/>
      </w:pPr>
      <w:r>
        <w:t xml:space="preserve">11. Create the app pool and site</w:t>
      </w:r>
    </w:p>
    <w:p>
      <w:pPr>
        <w:pStyle w:val="ListBullet"/>
      </w:pPr>
      <w:r>
        <w:rPr>
          <w:b/>
          <w:bCs/>
        </w:rPr>
        <w:t xml:space="preserve">App pool</w:t>
      </w:r>
      <w:r>
        <w:t xml:space="preserve"> </w:t>
      </w:r>
      <w:r>
        <w:rPr>
          <w:rStyle w:val="InlineCode"/>
        </w:rPr>
        <w:t xml:space="preserve">ACME-ADCS</w:t>
      </w:r>
      <w:r>
        <w:t xml:space="preserve">: No Managed Code; identity = custom account </w:t>
      </w:r>
      <w:r>
        <w:rPr>
          <w:rStyle w:val="InlineCode"/>
        </w:rPr>
        <w:t xml:space="preserve">QUANTUMSPACE\svc-acme$</w:t>
      </w:r>
      <w:r>
        <w:t xml:space="preserve"> (leave the password blank).</w:t>
      </w:r>
    </w:p>
    <w:p>
      <w:pPr>
        <w:pStyle w:val="ListBullet"/>
      </w:pPr>
      <w:r>
        <w:rPr>
          <w:b/>
          <w:bCs/>
        </w:rPr>
        <w:t xml:space="preserve">Site</w:t>
      </w:r>
      <w:r>
        <w:t xml:space="preserve"> </w:t>
      </w:r>
      <w:r>
        <w:rPr>
          <w:rStyle w:val="InlineCode"/>
        </w:rPr>
        <w:t xml:space="preserve">ACME-ADCS</w:t>
      </w:r>
      <w:r>
        <w:t xml:space="preserve">: path </w:t>
      </w:r>
      <w:r>
        <w:rPr>
          <w:rStyle w:val="InlineCode"/>
        </w:rPr>
        <w:t xml:space="preserve">C:\inetpub\acme</w:t>
      </w:r>
      <w:r>
        <w:t xml:space="preserve">, that pool, HTTPS binding on 443 with host </w:t>
      </w:r>
      <w:r>
        <w:rPr>
          <w:rStyle w:val="InlineCode"/>
        </w:rPr>
        <w:t xml:space="preserve">qs-ra-acme.quantumspace.com</w:t>
      </w:r>
      <w:r>
        <w:t xml:space="preserve"> and the certificate from step 8.</w:t>
      </w:r>
    </w:p>
    <w:p>
      <w:pPr>
        <w:pStyle w:val="ListBullet"/>
      </w:pPr>
      <w:r>
        <w:t xml:space="preserve">Stop the Default Web Site if it holds port 443.</w:t>
      </w:r>
    </w:p>
    <w:p>
      <w:pPr>
        <w:pStyle w:val="Figure"/>
      </w:pPr>
      <w:r>
        <w:drawing>
          <wp:inline>
            <wp:extent cx="5734050" cy="2691419"/>
            <wp:docPr id="5" name="Drawing 5" descr="84046b46d3e1bcd85021eec1bcbf8f8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84046b46d3e1bcd85021eec1bcbf8f8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69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6. </w:t>
      </w:r>
      <w:r>
        <w:t>IIS application pool settings</w:t>
      </w:r>
    </w:p>
    <w:p>
      <w:pPr>
        <w:pStyle w:val="Figure"/>
      </w:pPr>
      <w:r>
        <w:drawing>
          <wp:inline>
            <wp:extent cx="5734050" cy="4063786"/>
            <wp:docPr id="6" name="Drawing 6" descr="0302fc6e004a692367329b74ee021fc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302fc6e004a692367329b74ee021fc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0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7. </w:t>
      </w:r>
      <w:r>
        <w:t>IIS site bindings</w:t>
      </w:r>
    </w:p>
    <w:p>
      <w:r>
        <w:rPr>
          <w:b/>
          <w:bCs/>
        </w:rPr>
        <w:t xml:space="preserve">Why these settings:</w:t>
      </w:r>
    </w:p>
    <w:p>
      <w:pPr>
        <w:pStyle w:val="ListBullet"/>
      </w:pPr>
      <w:r>
        <w:t xml:space="preserve">No Managed Code: ASP.NET Core brings its own runtime.</w:t>
      </w:r>
    </w:p>
    <w:p>
      <w:pPr>
        <w:pStyle w:val="ListBullet"/>
      </w:pPr>
      <w:r>
        <w:t xml:space="preserve">The pool identity decides </w:t>
      </w:r>
      <w:r>
        <w:rPr>
          <w:i/>
          <w:iCs/>
        </w:rPr>
        <w:t xml:space="preserve">who</w:t>
      </w:r>
      <w:r>
        <w:t xml:space="preserve"> talks to the CA, so it must be the gMSA.</w:t>
      </w:r>
    </w:p>
    <w:p>
      <w:pPr>
        <w:pStyle w:val="ListBullet"/>
      </w:pPr>
      <w:r>
        <w:t xml:space="preserve">A host-name binding makes IIS answer for the name clients use.</w:t>
      </w:r>
    </w:p>
    <w:p>
      <w:r>
        <w:rPr>
          <w:b/>
          <w:bCs/>
        </w:rPr>
        <w:t xml:space="preserve">Verify:</w:t>
      </w:r>
    </w:p>
    <w:p>
      <w:pPr>
        <w:pStyle w:val="Code"/>
      </w:pPr>
      <w:r>
        <w:t xml:space="preserve">Get-IISAppPool ACME-ADCS | Select Name, State</w:t>
      </w:r>
    </w:p>
    <w:p>
      <w:pPr>
        <w:pStyle w:val="Code"/>
      </w:pPr>
      <w:r>
        <w:t xml:space="preserve">Get-Website ACME-ADCS | Select Name, State, PhysicalPath</w:t>
      </w:r>
    </w:p>
    <w:p>
      <w:pPr>
        <w:pStyle w:val="Code"/>
      </w:pPr>
      <w:r>
        <w:t xml:space="preserve">(Get-ItemProperty IIS:\AppPools\ACME-ADCS).processModel | Select identityType, userName</w:t>
      </w:r>
    </w:p>
    <w:p>
      <w:pPr>
        <w:pStyle w:val="CodeLast"/>
      </w:pPr>
      <w:r>
        <w:t xml:space="preserve">Get-WebBinding -Name ACME-ADCS</w:t>
      </w:r>
    </w:p>
    <w:p>
      <w:pPr>
        <w:pStyle w:val="Figure"/>
      </w:pPr>
      <w:r>
        <w:drawing>
          <wp:inline>
            <wp:extent cx="5734050" cy="2749604"/>
            <wp:docPr id="7" name="Drawing 7" descr="675a7ec4aa51b2a354e6ccd18b506aa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675a7ec4aa51b2a354e6ccd18b506aaf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74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8. </w:t>
      </w:r>
      <w:r>
        <w:t>Verification output for pool, site and binding</w:t>
      </w:r>
    </w:p>
    <w:p>
      <w:pPr>
        <w:pStyle w:val="Heading1"/>
      </w:pPr>
      <w:r>
        <w:t xml:space="preserve">Phase 4: Configure ACME-ADCS</w:t>
      </w:r>
    </w:p>
    <w:p>
      <w:pPr>
        <w:pStyle w:val="Heading2"/>
      </w:pPr>
      <w:r>
        <w:t xml:space="preserve">12. Create appsettings.Production.json</w:t>
      </w:r>
    </w:p>
    <w:p>
      <w:r>
        <w:t xml:space="preserve">v3.0 reads this file, not </w:t>
      </w:r>
      <w:r>
        <w:rPr>
          <w:rStyle w:val="InlineCode"/>
        </w:rPr>
        <w:t xml:space="preserve">appsettings-custom.json</w:t>
      </w:r>
      <w:r>
        <w:t xml:space="preserve">.</w:t>
      </w:r>
    </w:p>
    <w:p>
      <w:pPr>
        <w:pStyle w:val="Code"/>
      </w:pPr>
      <w:r>
        <w:t xml:space="preserve">@'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"AcmeFileStore": { "BasePath": "C:\\ACME-ADCS\\" },</w:t>
      </w:r>
    </w:p>
    <w:p>
      <w:pPr>
        <w:pStyle w:val="Code"/>
      </w:pPr>
      <w:r>
        <w:t xml:space="preserve">  "AcmeServer":    { "SupportsRevocation": false },</w:t>
      </w:r>
    </w:p>
    <w:p>
      <w:pPr>
        <w:pStyle w:val="Code"/>
      </w:pPr>
      <w:r>
        <w:t xml:space="preserve">  "Profiles": {</w:t>
      </w:r>
    </w:p>
    <w:p>
      <w:pPr>
        <w:pStyle w:val="Code"/>
      </w:pPr>
      <w:r>
        <w:t xml:space="preserve">    "Default-Profile": {</w:t>
      </w:r>
    </w:p>
    <w:p>
      <w:pPr>
        <w:pStyle w:val="Code"/>
      </w:pPr>
      <w:r>
        <w:t xml:space="preserve">      "SupportedIdentifiers": [ "dns" ],</w:t>
      </w:r>
    </w:p>
    <w:p>
      <w:pPr>
        <w:pStyle w:val="Code"/>
      </w:pPr>
      <w:r>
        <w:t xml:space="preserve">      "ADCSOptions": {</w:t>
      </w:r>
    </w:p>
    <w:p>
      <w:pPr>
        <w:pStyle w:val="Code"/>
      </w:pPr>
      <w:r>
        <w:t xml:space="preserve">        "CAServer": "QS-SUB-CA1.Quantumspace.com\\Quantumspace Issuing CA1",</w:t>
      </w:r>
    </w:p>
    <w:p>
      <w:pPr>
        <w:pStyle w:val="Code"/>
      </w:pPr>
      <w:r>
        <w:t xml:space="preserve">        "TemplateName": "ACME-Auto-QS"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Last"/>
      </w:pPr>
      <w:r>
        <w:t xml:space="preserve">'@ | Set-Content C:\inetpub\acme\appsettings.Production.json -Encoding UTF8</w:t>
      </w:r>
    </w:p>
    <w:p>
      <w:pPr>
        <w:pStyle w:val="Heading2"/>
      </w:pPr>
      <w:r>
        <w:t xml:space="preserve">13. Test the app outside IIS first</w:t>
      </w:r>
    </w:p>
    <w:p>
      <w:pPr>
        <w:pStyle w:val="Code"/>
      </w:pPr>
      <w:r>
        <w:t xml:space="preserve">cd C:\inetpub\acme</w:t>
      </w:r>
    </w:p>
    <w:p>
      <w:pPr>
        <w:pStyle w:val="CodeLast"/>
      </w:pPr>
      <w:r>
        <w:t xml:space="preserve">dotnet .\ACMEServer.ADCS.dll</w:t>
      </w:r>
    </w:p>
    <w:p>
      <w:pPr>
        <w:pStyle w:val="Figure"/>
      </w:pPr>
      <w:r>
        <w:drawing>
          <wp:inline>
            <wp:extent cx="5734050" cy="2484273"/>
            <wp:docPr id="8" name="Drawing 8" descr="b2fe558552583ed4ee989bbcd18dae9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2fe558552583ed4ee989bbcd18dae9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48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9. </w:t>
      </w:r>
      <w:r>
        <w:t>ACME app started from the console</w:t>
      </w:r>
    </w:p>
    <w:p>
      <w:pPr>
        <w:pStyle w:val="Heading2"/>
      </w:pPr>
      <w:r>
        <w:t xml:space="preserve">14. Start IIS and check the directory</w:t>
      </w:r>
    </w:p>
    <w:p>
      <w:pPr>
        <w:pStyle w:val="CodeLast"/>
      </w:pPr>
      <w:r>
        <w:t xml:space="preserve">Restart-WebAppPool ACME-ADCS</w:t>
      </w:r>
    </w:p>
    <w:p>
      <w:r>
        <w:t xml:space="preserve">Browse to </w:t>
      </w:r>
      <w:r>
        <w:rPr>
          <w:rStyle w:val="InlineCode"/>
        </w:rPr>
        <w:t xml:space="preserve">https://qs-ra-acme.quantumspace.com/</w:t>
      </w:r>
      <w:r>
        <w:t xml:space="preserve">. You should see JSON containing </w:t>
      </w:r>
      <w:r>
        <w:rPr>
          <w:rStyle w:val="InlineCode"/>
        </w:rPr>
        <w:t xml:space="preserve">newNonce</w:t>
      </w:r>
      <w:r>
        <w:t xml:space="preserve">, </w:t>
      </w:r>
      <w:r>
        <w:rPr>
          <w:rStyle w:val="InlineCode"/>
        </w:rPr>
        <w:t xml:space="preserve">newAccount</w:t>
      </w:r>
      <w:r>
        <w:t xml:space="preserve">, </w:t>
      </w:r>
      <w:r>
        <w:rPr>
          <w:rStyle w:val="InlineCode"/>
        </w:rPr>
        <w:t xml:space="preserve">newOrder</w:t>
      </w:r>
      <w:r>
        <w:t xml:space="preserve"> and your profile.</w:t>
      </w:r>
    </w:p>
    <w:p>
      <w:pPr>
        <w:pStyle w:val="Figure"/>
      </w:pPr>
      <w:r>
        <w:drawing>
          <wp:inline>
            <wp:extent cx="5734050" cy="505313"/>
            <wp:docPr id="9" name="Drawing 9" descr="35d2ae53872c1bc5de94697f69982cf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35d2ae53872c1bc5de94697f69982cf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0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10. </w:t>
      </w:r>
      <w:r>
        <w:t>ACME directory JSON in the browser</w:t>
      </w:r>
    </w:p>
    <w:p>
      <w:pPr>
        <w:pStyle w:val="Callout"/>
      </w:pPr>
      <w:r>
        <w:rPr>
          <w:b/>
          <w:bCs/>
        </w:rPr>
        <w:t xml:space="preserve">Checkpoint:</w:t>
      </w:r>
      <w:r>
        <w:t xml:space="preserve"> this single page proves that IIS, the Hosting Bundle, the gMSA pool, the config and TLS all work.</w:t>
      </w:r>
    </w:p>
    <w:p>
      <w:pPr>
        <w:pStyle w:val="Heading1"/>
      </w:pPr>
      <w:r>
        <w:t xml:space="preserve">Phase 5: Test client and issuance</w:t>
      </w:r>
    </w:p>
    <w:p>
      <w:pPr>
        <w:pStyle w:val="Callout"/>
      </w:pPr>
      <w:r>
        <w:rPr>
          <w:b/>
          <w:bCs/>
        </w:rPr>
        <w:t xml:space="preserve">Note:</w:t>
      </w:r>
      <w:r>
        <w:t xml:space="preserve"> The client does not need to be domain-joined. It only talks ACME over HTTPS and answers a challenge over HTTP; it never authenticates to AD or the CA. Only the ACME server needs a domain identity (the gMSA), because it performs the CA enrollment. The template is set to </w:t>
      </w:r>
      <w:r>
        <w:rPr>
          <w:i/>
          <w:iCs/>
        </w:rPr>
        <w:t xml:space="preserve">Supply in the request</w:t>
      </w:r>
      <w:r>
        <w:t xml:space="preserve">, so no AD information is taken from the client either.</w:t>
      </w:r>
    </w:p>
    <w:p>
      <w:r>
        <w:rPr>
          <w:b/>
          <w:bCs/>
        </w:rPr>
        <w:t xml:space="preserve">What the client does need</w:t>
      </w:r>
    </w:p>
    <w:p>
      <w:pPr>
        <w:pStyle w:val="ListNumber"/>
        <w:numPr>
          <w:ilvl w:val="0"/>
          <w:numId w:val="4"/>
        </w:numPr>
      </w:pPr>
      <w:r>
        <w:rPr>
          <w:b/>
          <w:bCs/>
        </w:rPr>
        <w:t xml:space="preserve">Trust your root CA.</w:t>
      </w:r>
      <w:r>
        <w:t xml:space="preserve"> Import the root certificate into the client's trusted root store, otherwise it rejects the ACME server's HTTPS certificate. (On Linux, point certbot at the PEM with </w:t>
      </w:r>
      <w:r>
        <w:rPr>
          <w:rStyle w:val="InlineCode"/>
        </w:rPr>
        <w:t xml:space="preserve">REQUESTS_CA_BUNDLE</w:t>
      </w:r>
      <w:r>
        <w:t xml:space="preserve">.)</w:t>
      </w:r>
    </w:p>
    <w:p>
      <w:pPr>
        <w:pStyle w:val="ListNumber"/>
        <w:numPr>
          <w:ilvl w:val="0"/>
          <w:numId w:val="4"/>
        </w:numPr>
      </w:pPr>
      <w:r>
        <w:rPr>
          <w:b/>
          <w:bCs/>
        </w:rPr>
        <w:t xml:space="preserve">Resolve the ACME server's name.</w:t>
      </w:r>
      <w:r>
        <w:t xml:space="preserve"> Use your internal DNS server, or add a hosts entry for </w:t>
      </w:r>
      <w:r>
        <w:rPr>
          <w:rStyle w:val="InlineCode"/>
        </w:rPr>
        <w:t xml:space="preserve">qs-ra-acme.quantumspace.com</w:t>
      </w:r>
      <w:r>
        <w:t xml:space="preserve">.</w:t>
      </w:r>
    </w:p>
    <w:p>
      <w:pPr>
        <w:pStyle w:val="ListNumber"/>
        <w:numPr>
          <w:ilvl w:val="0"/>
          <w:numId w:val="4"/>
        </w:numPr>
      </w:pPr>
      <w:r>
        <w:rPr>
          <w:b/>
          <w:bCs/>
        </w:rPr>
        <w:t xml:space="preserve">Be resolvable from the ACME server.</w:t>
      </w:r>
      <w:r>
        <w:t xml:space="preserve"> For http-01, the ACME server connects to the name in the certificate request, so </w:t>
      </w:r>
      <w:r>
        <w:rPr>
          <w:rStyle w:val="InlineCode"/>
        </w:rPr>
        <w:t xml:space="preserve">QS-TEST-SRV.quantumspace.com</w:t>
      </w:r>
      <w:r>
        <w:t xml:space="preserve"> (or whatever name you request) must resolve to the client's IP from the ACME server. A non-domain machine won't register itself in DNS, so create the A record manually.</w:t>
      </w:r>
    </w:p>
    <w:p>
      <w:pPr>
        <w:pStyle w:val="ListNumber"/>
        <w:numPr>
          <w:ilvl w:val="0"/>
          <w:numId w:val="4"/>
        </w:numPr>
      </w:pPr>
      <w:r>
        <w:rPr>
          <w:b/>
          <w:bCs/>
        </w:rPr>
        <w:t xml:space="preserve">Be reachable on port 80 from the ACME server</w:t>
      </w:r>
      <w:r>
        <w:t xml:space="preserve">, with a web server listening there and any firewall or NSG rules in place.</w:t>
      </w:r>
    </w:p>
    <w:p>
      <w:pPr>
        <w:pStyle w:val="Heading2"/>
      </w:pPr>
      <w:r>
        <w:t xml:space="preserve">15. Prepare the client's web server for validation</w:t>
      </w:r>
    </w:p>
    <w:p>
      <w:pPr>
        <w:pStyle w:val="Code"/>
      </w:pPr>
      <w:r>
        <w:t xml:space="preserve">Install-WindowsFeature Web-Server</w:t>
      </w:r>
    </w:p>
    <w:p>
      <w:pPr>
        <w:pStyle w:val="CodeLast"/>
      </w:pPr>
      <w:r>
        <w:t xml:space="preserve">New-NetFirewallRule -DisplayName "HTTP 80 inbound (ACME)" -Direction Inbound -Protocol TCP -LocalPort 80 -Action Allow</w:t>
      </w:r>
    </w:p>
    <w:p>
      <w:pPr>
        <w:pStyle w:val="Figure"/>
      </w:pPr>
      <w:r>
        <w:drawing>
          <wp:inline>
            <wp:extent cx="5734050" cy="2914808"/>
            <wp:docPr id="10" name="Drawing 10" descr="2d6de3be9b70593ccf14bb03c14c806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2d6de3be9b70593ccf14bb03c14c806b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91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11. </w:t>
      </w:r>
      <w:r>
        <w:t>Client web server and firewall rule</w:t>
      </w:r>
    </w:p>
    <w:p>
      <w:r>
        <w:t xml:space="preserve">Also allow inbound TCP 80 in any Azure NSG from the ACME server's IP, and add an extensionless-file mapping:</w:t>
      </w:r>
    </w:p>
    <w:p>
      <w:pPr>
        <w:pStyle w:val="Code"/>
      </w:pPr>
      <w:r>
        <w:t xml:space="preserve">$dir='C:\inetpub\wwwroot\.well-known\acme-challenge'</w:t>
      </w:r>
    </w:p>
    <w:p>
      <w:pPr>
        <w:pStyle w:val="Code"/>
      </w:pPr>
      <w:r>
        <w:t xml:space="preserve">New-Item -ItemType Directory $dir -Force</w:t>
      </w:r>
    </w:p>
    <w:p>
      <w:pPr>
        <w:pStyle w:val="Code"/>
      </w:pPr>
      <w:r>
        <w:t xml:space="preserve">@'</w:t>
      </w:r>
    </w:p>
    <w:p>
      <w:pPr>
        <w:pStyle w:val="Code"/>
      </w:pPr>
      <w:r>
        <w:t xml:space="preserve">&lt;?xml version="1.0" encoding="UTF-8"?&gt;</w:t>
      </w:r>
    </w:p>
    <w:p>
      <w:pPr>
        <w:pStyle w:val="Code"/>
      </w:pPr>
      <w:r>
        <w:t xml:space="preserve">&lt;configuration&gt;&lt;system.webServer&gt;&lt;staticContent&gt;</w:t>
      </w:r>
    </w:p>
    <w:p>
      <w:pPr>
        <w:pStyle w:val="Code"/>
      </w:pPr>
      <w:r>
        <w:t xml:space="preserve">  &lt;mimeMap fileExtension="." mimeType="text/plain" /&gt;</w:t>
      </w:r>
    </w:p>
    <w:p>
      <w:pPr>
        <w:pStyle w:val="Code"/>
      </w:pPr>
      <w:r>
        <w:t xml:space="preserve">&lt;/staticContent&gt;&lt;/system.webServer&gt;&lt;/configuration&gt;</w:t>
      </w:r>
    </w:p>
    <w:p>
      <w:pPr>
        <w:pStyle w:val="CodeLast"/>
      </w:pPr>
      <w:r>
        <w:t xml:space="preserve">'@ | Set-Content "$dir\web.config" -Encoding UTF8</w:t>
      </w:r>
    </w:p>
    <w:p>
      <w:r>
        <w:t xml:space="preserve">With http-01, the ACME server connects back to the client on port 80 and reads a token file. The client therefore needs a web server on port 80, firewall and NSG rules that allow it, and IIS configured to serve a file with no extension (otherwise it returns 404).</w:t>
      </w:r>
    </w:p>
    <w:p>
      <w:pPr>
        <w:pStyle w:val="Heading2"/>
      </w:pPr>
      <w:r>
        <w:t xml:space="preserve">16. Request a certificate from a non-domain machine</w:t>
      </w:r>
    </w:p>
    <w:p>
      <w:r>
        <w:t xml:space="preserve">Using Posh-ACME on the client:</w:t>
      </w:r>
    </w:p>
    <w:p>
      <w:pPr>
        <w:pStyle w:val="CodeLast"/>
      </w:pPr>
      <w:r>
        <w:t xml:space="preserve">Install-Module Posh-ACME -Scope CurrentUser</w:t>
      </w:r>
    </w:p>
    <w:p>
      <w:pPr>
        <w:pStyle w:val="Figure"/>
      </w:pPr>
      <w:r>
        <w:drawing>
          <wp:inline>
            <wp:extent cx="5734050" cy="2255940"/>
            <wp:docPr id="11" name="Drawing 11" descr="3c34e369248b3ce7bcb134db9642b8f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3c34e369248b3ce7bcb134db9642b8f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25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12. </w:t>
      </w:r>
      <w:r>
        <w:t>Posh-ACME installation</w:t>
      </w:r>
    </w:p>
    <w:p>
      <w:r>
        <w:t xml:space="preserve">Confirm the client can resolve the ACME server:</w:t>
      </w:r>
    </w:p>
    <w:p>
      <w:pPr>
        <w:pStyle w:val="Code"/>
      </w:pPr>
      <w:r>
        <w:t xml:space="preserve">Resolve-DnsName qs-ra-acme.quantumspace.com</w:t>
      </w:r>
    </w:p>
    <w:p>
      <w:pPr>
        <w:pStyle w:val="CodeLast"/>
      </w:pPr>
      <w:r>
        <w:t xml:space="preserve">Get-DnsClientServerAddress -InterfaceAlias Ethernet* -AddressFamily IPv4</w:t>
      </w:r>
    </w:p>
    <w:p>
      <w:pPr>
        <w:pStyle w:val="Figure"/>
      </w:pPr>
      <w:r>
        <w:drawing>
          <wp:inline>
            <wp:extent cx="5734050" cy="1782352"/>
            <wp:docPr id="12" name="Drawing 12" descr="63cc853fc6d6b92544e3a8f0f28dbf9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63cc853fc6d6b92544e3a8f0f28dbf97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78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13. </w:t>
      </w:r>
      <w:r>
        <w:t>DNS resolution from the client</w:t>
      </w:r>
    </w:p>
    <w:p>
      <w:r>
        <w:t xml:space="preserve">Point Posh-ACME at the directory. If this works, the directory loads and you are ready to request the certificate. A certificate or TLS error means the root CA is not trusted (requirement 1).</w:t>
      </w:r>
    </w:p>
    <w:p>
      <w:pPr>
        <w:pStyle w:val="CodeLast"/>
      </w:pPr>
      <w:r>
        <w:t xml:space="preserve">Set-PAServer -DirectoryUrl https://qs-ra-acme.quantumspace.com/</w:t>
      </w:r>
    </w:p>
    <w:p>
      <w:r>
        <w:t xml:space="preserve">Because the client is not domain-joined, create its DNS A record on the DC and check that the ACME server can resolve it:</w:t>
      </w:r>
    </w:p>
    <w:p>
      <w:pPr>
        <w:pStyle w:val="CodeLast"/>
      </w:pPr>
      <w:r>
        <w:t xml:space="preserve">Add-DnsServerResourceRecordA -ZoneName quantumspace.com -Name QS-TEST-SRV -IPv4Address &lt;client-ip&gt;</w:t>
      </w:r>
    </w:p>
    <w:p>
      <w:pPr>
        <w:pStyle w:val="Figure"/>
      </w:pPr>
      <w:r>
        <w:drawing>
          <wp:inline>
            <wp:extent cx="5734050" cy="3376299"/>
            <wp:docPr id="13" name="Drawing 13" descr="6a09500ca44f2309ce6ea88025e5778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6a09500ca44f2309ce6ea88025e57787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37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14. </w:t>
      </w:r>
      <w:r>
        <w:t>DNS A record for the test machine</w:t>
      </w:r>
    </w:p>
    <w:p>
      <w:r>
        <w:t xml:space="preserve">Request the certificate:</w:t>
      </w:r>
    </w:p>
    <w:p>
      <w:pPr>
        <w:pStyle w:val="CodeLast"/>
      </w:pPr>
      <w:r>
        <w:t xml:space="preserve">New-PACertificate QS-TEST-SRV.quantumspace.com -AcceptTOS -Plugin WebSelfHost -CertKeyLength 3072 -Force</w:t>
      </w:r>
    </w:p>
    <w:p>
      <w:pPr>
        <w:pStyle w:val="Figure"/>
      </w:pPr>
      <w:r>
        <w:drawing>
          <wp:inline>
            <wp:extent cx="5734050" cy="1260075"/>
            <wp:docPr id="14" name="Drawing 14" descr="a96ff329997a0d9eaeb9e584f88604d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96ff329997a0d9eaeb9e584f88604d8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26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15. </w:t>
      </w:r>
      <w:r>
        <w:t>Certificate request output</w:t>
      </w:r>
    </w:p>
    <w:p>
      <w:pPr>
        <w:pStyle w:val="Figure"/>
      </w:pPr>
      <w:r>
        <w:drawing>
          <wp:inline>
            <wp:extent cx="5734050" cy="641496"/>
            <wp:docPr id="15" name="Drawing 15" descr="fc156d8591eaa96dac5e3885042d694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c156d8591eaa96dac5e3885042d6948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64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16. </w:t>
      </w:r>
      <w:r>
        <w:t>Certificate request result</w:t>
      </w:r>
    </w:p>
    <w:p>
      <w:pPr>
        <w:pStyle w:val="Figure"/>
      </w:pPr>
      <w:r>
        <w:drawing>
          <wp:inline>
            <wp:extent cx="3429000" cy="4359243"/>
            <wp:docPr id="16" name="Drawing 16" descr="c876abf63564b2266c3e3e4097a27b0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876abf63564b2266c3e3e4097a27b05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435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17. </w:t>
      </w:r>
      <w:r>
        <w:t>Issued certificate</w:t>
      </w:r>
    </w:p>
    <w:p>
      <w:pPr>
        <w:pStyle w:val="Heading1"/>
      </w:pPr>
      <w:r>
        <w:t xml:space="preserve">Troubleshooting</w:t>
      </w:r>
    </w:p>
    <w:p>
      <w:pPr>
        <w:pStyle w:val="Heading2"/>
      </w:pPr>
      <w:r>
        <w:t xml:space="preserve">Error 1: ERR_CERT_AUTHORITY_INVALID in the browser</w:t>
      </w:r>
    </w:p>
    <w:p>
      <w:pPr>
        <w:pStyle w:val="Figure"/>
      </w:pPr>
      <w:r>
        <w:drawing>
          <wp:inline>
            <wp:extent cx="5734050" cy="3044049"/>
            <wp:docPr id="17" name="Drawing 17" descr="879a8527be5a34b22c12eed8c5119d0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879a8527be5a34b22c12eed8c5119d03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04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18. </w:t>
      </w:r>
      <w:r>
        <w:t>Browser certificate error</w:t>
      </w:r>
    </w:p>
    <w:p>
      <w:r>
        <w:t xml:space="preserve">The browser reached the ACME server and completed the TLS handshake. This error means the client doesn't trust the CA that issued the server's HTTPS certificate. A non-domain machine doesn't receive the root CA from Group Policy, so install it manually.</w:t>
      </w:r>
    </w:p>
    <w:p>
      <w:pPr>
        <w:pStyle w:val="Heading2"/>
      </w:pPr>
      <w:r>
        <w:t xml:space="preserve">Error 2: Challenge validation returns 404 (IIS on the test machine)</w:t>
      </w:r>
    </w:p>
    <w:p>
      <w:pPr>
        <w:pStyle w:val="Figure"/>
      </w:pPr>
      <w:r>
        <w:drawing>
          <wp:inline>
            <wp:extent cx="5734050" cy="2420742"/>
            <wp:docPr id="18" name="Drawing 18" descr="d78b7012679f49457b659727d385456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78b7012679f49457b659727d385456e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42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19. </w:t>
      </w:r>
      <w:r>
        <w:t>IIS service state on the test machine</w:t>
      </w:r>
    </w:p>
    <w:p>
      <w:r>
        <w:t xml:space="preserve">IIS is running on the test machine (W3SVC and WAS are Running, and PID 4 is HTTP.sys, which IIS uses). When the ACME server requests the challenge file, IIS answers with its own 404, because Posh-ACME's temporary listener can't take port 80 while IIS holds it.</w:t>
      </w:r>
    </w:p>
    <w:p>
      <w:r>
        <w:rPr>
          <w:b/>
          <w:bCs/>
        </w:rPr>
        <w:t xml:space="preserve">Fix:</w:t>
      </w:r>
      <w:r>
        <w:t xml:space="preserve"> stop IIS temporarily, request the certificate, then start it again.</w:t>
      </w:r>
    </w:p>
    <w:p>
      <w:pPr>
        <w:pStyle w:val="Code"/>
      </w:pPr>
      <w:r>
        <w:t xml:space="preserve">iisreset /stop</w:t>
      </w:r>
    </w:p>
    <w:p>
      <w:pPr>
        <w:pStyle w:val="Code"/>
      </w:pPr>
      <w:r>
        <w:t xml:space="preserve"># run New-PACertificate (step 16)</w:t>
      </w:r>
    </w:p>
    <w:p>
      <w:pPr>
        <w:pStyle w:val="CodeLast"/>
      </w:pPr>
      <w:r>
        <w:t xml:space="preserve">iisreset /start</w:t>
      </w:r>
    </w:p>
    <w:sectPr>
      <w:footerReference w:type="default" r:id="rId901"/>
      <w:pgSz w:w="11910" w:h="16845"/>
      <w:pgMar w:top="1440" w:right="1440" w:bottom="1440" w:left="1440" w:header="708" w:footer="708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Calibri (MS) Italics">
    <w:panose1 w:val="020F05020202040A0204"/>
    <w:charset w:characterSet="1"/>
  </w:font>
  <w:font w:name="Calibri (MS) Bold">
    <w:panose1 w:val="020F0702030404030204"/>
    <w:charset w:characterSet="1"/>
  </w:font>
  <w:font w:name="Calibri (MS)">
    <w:panose1 w:val="020F0502020204030204"/>
    <w:charset w:characterSet="1"/>
  </w:font>
</w:fonts>
</file>

<file path=word/footer1.xml><?xml version="1.0" encoding="utf-8"?>
<w:ftr xmlns:w="http://schemas.openxmlformats.org/wordprocessingml/2006/main">
  <w:p>
    <w:pPr>
      <w:pStyle w:val="Footer"/>
    </w:pPr>
    <w:r>
      <w:t>ACME-ADCS Implementation Guide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color w:val="1F2328"/>
        <w:sz w:val="21"/>
        <w:szCs w:val="21"/>
        <w:lang w:val="en-GB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Subtitle"/>
    <w:qFormat/>
    <w:pPr>
      <w:spacing w:before="0" w:after="60" w:line="240" w:lineRule="auto"/>
    </w:pPr>
    <w:rPr>
      <w:rFonts w:ascii="Georgia" w:hAnsi="Georgia" w:cs="Georgia" w:eastAsia="Georgia"/>
      <w:b/>
      <w:bCs/>
      <w:sz w:val="44"/>
      <w:szCs w:val="44"/>
    </w:rPr>
  </w:style>
  <w:style w:type="paragraph" w:styleId="Subtitle">
    <w:name w:val="Subtitle"/>
    <w:basedOn w:val="Normal"/>
    <w:next w:val="Normal"/>
    <w:qFormat/>
    <w:pPr>
      <w:pBdr>
        <w:bottom w:val="single" w:sz="6" w:space="8" w:color="D0D7DE"/>
      </w:pBdr>
      <w:spacing w:before="0" w:after="280"/>
    </w:pPr>
    <w:rPr>
      <w:color w:val="656D76"/>
      <w:sz w:val="22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6" w:space="3" w:color="D0D7DE"/>
      </w:pBdr>
      <w:spacing w:before="400" w:after="140"/>
      <w:outlineLvl w:val="0"/>
    </w:pPr>
    <w:rPr>
      <w:rFonts w:ascii="Georgia" w:hAnsi="Georgia" w:cs="Georgia" w:eastAsia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80"/>
      <w:outlineLvl w:val="1"/>
    </w:pPr>
    <w:rPr>
      <w:rFonts w:ascii="Georgia" w:hAnsi="Georgia" w:cs="Georgia" w:eastAsia="Georgia"/>
      <w:b/>
      <w:bCs/>
      <w:sz w:val="24"/>
      <w:szCs w:val="24"/>
    </w:rPr>
  </w:style>
  <w:style w:type="paragraph" w:styleId="ListBullet">
    <w:name w:val="List Bullet"/>
    <w:basedOn w:val="Normal"/>
    <w:qFormat/>
    <w:pPr>
      <w:numPr>
        <w:ilvl w:val="0"/>
        <w:numId w:val="1"/>
      </w:numPr>
      <w:spacing w:after="60"/>
      <w:contextualSpacing/>
    </w:pPr>
  </w:style>
  <w:style w:type="paragraph" w:styleId="ListNumber">
    <w:name w:val="List Number"/>
    <w:basedOn w:val="Normal"/>
    <w:qFormat/>
    <w:pPr>
      <w:spacing w:after="100"/>
    </w:pPr>
  </w:style>
  <w:style w:type="paragraph" w:styleId="Code">
    <w:name w:val="Code"/>
    <w:basedOn w:val="Normal"/>
    <w:qFormat/>
    <w:pPr>
      <w:pBdr>
        <w:top w:val="single" w:sz="4" w:space="4" w:color="D0D7DE"/>
        <w:left w:val="single" w:sz="4" w:space="6" w:color="D0D7DE"/>
        <w:bottom w:val="single" w:sz="4" w:space="4" w:color="D0D7DE"/>
        <w:right w:val="single" w:sz="4" w:space="6" w:color="D0D7DE"/>
      </w:pBdr>
      <w:shd w:val="clear" w:color="auto" w:fill="F6F8FA"/>
      <w:spacing w:before="0" w:after="0" w:line="252" w:lineRule="auto"/>
      <w:ind w:left="140" w:right="140"/>
    </w:pPr>
    <w:rPr>
      <w:rFonts w:ascii="Consolas" w:hAnsi="Consolas" w:cs="Consolas" w:eastAsia="Consolas"/>
      <w:sz w:val="19"/>
      <w:szCs w:val="19"/>
    </w:rPr>
  </w:style>
  <w:style w:type="paragraph" w:styleId="CodeLast">
    <w:name w:val="Code Last"/>
    <w:basedOn w:val="Code"/>
    <w:pPr>
      <w:spacing w:after="200"/>
    </w:pPr>
  </w:style>
  <w:style w:type="paragraph" w:styleId="Callout">
    <w:name w:val="Callout"/>
    <w:basedOn w:val="Normal"/>
    <w:qFormat/>
    <w:pPr>
      <w:pBdr>
        <w:left w:val="single" w:sz="24" w:space="8" w:color="9AA4AF"/>
      </w:pBdr>
      <w:spacing w:before="140" w:after="200"/>
      <w:ind w:left="200" w:right="60"/>
    </w:pPr>
    <w:rPr>
      <w:color w:val="424A53"/>
    </w:rPr>
  </w:style>
  <w:style w:type="paragraph" w:styleId="TableText">
    <w:name w:val="Table Text"/>
    <w:basedOn w:val="Normal"/>
    <w:pPr>
      <w:spacing w:before="0" w:after="0" w:line="260" w:lineRule="auto"/>
    </w:pPr>
    <w:rPr>
      <w:sz w:val="19"/>
      <w:szCs w:val="19"/>
    </w:rPr>
  </w:style>
  <w:style w:type="paragraph" w:styleId="Figure">
    <w:name w:val="Figure"/>
    <w:basedOn w:val="Normal"/>
    <w:qFormat/>
    <w:pPr>
      <w:keepNext/>
      <w:keepLines/>
      <w:spacing w:before="140" w:after="40"/>
      <w:jc w:val="center"/>
    </w:pPr>
  </w:style>
  <w:style w:type="paragraph" w:styleId="Caption">
    <w:name w:val="caption"/>
    <w:basedOn w:val="Normal"/>
    <w:qFormat/>
    <w:pPr>
      <w:spacing w:before="0" w:after="200"/>
      <w:jc w:val="center"/>
    </w:pPr>
    <w:rPr>
      <w:i/>
      <w:iCs/>
      <w:color w:val="656D76"/>
      <w:sz w:val="18"/>
      <w:szCs w:val="18"/>
    </w:rPr>
  </w:style>
  <w:style w:type="paragraph" w:styleId="Footer">
    <w:name w:val="footer"/>
    <w:basedOn w:val="Normal"/>
    <w:pPr>
      <w:pBdr>
        <w:top w:val="single" w:sz="4" w:space="6" w:color="D0D7DE"/>
      </w:pBdr>
      <w:tabs>
        <w:tab w:val="right" w:pos="9030"/>
      </w:tabs>
      <w:spacing w:after="0"/>
    </w:pPr>
    <w:rPr>
      <w:color w:val="656D76"/>
      <w:sz w:val="17"/>
      <w:szCs w:val="17"/>
    </w:rPr>
  </w:style>
  <w:style w:type="character" w:styleId="InlineCode">
    <w:name w:val="Inline Code"/>
    <w:rPr>
      <w:rFonts w:ascii="Consolas" w:hAnsi="Consolas" w:cs="Consolas" w:eastAsia="Consolas"/>
      <w:sz w:val="20"/>
      <w:szCs w:val="20"/>
      <w:shd w:val="clear" w:color="auto" w:fill="EFF1F3"/>
    </w:rPr>
  </w:style>
  <w:style w:type="character" w:styleId="Hyperlink">
    <w:name w:val="Hyperlink"/>
    <w:rPr>
      <w:color w:val="0969DA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fontTable.xml" Type="http://schemas.openxmlformats.org/officeDocument/2006/relationships/fontTable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numbering.xml" Type="http://schemas.openxmlformats.org/officeDocument/2006/relationships/numbering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https://github.com/glatzert/ACME-Server-ADCS" TargetMode="External" Type="http://schemas.openxmlformats.org/officeDocument/2006/relationships/hyperlink"/><Relationship Id="rId9" Target="media/image5.png" Type="http://schemas.openxmlformats.org/officeDocument/2006/relationships/image"/><Relationship Id="rId900" Target="styles.xml" Type="http://schemas.openxmlformats.org/officeDocument/2006/relationships/styles"/><Relationship Id="rId901" Target="footer1.xml" Type="http://schemas.openxmlformats.org/officeDocument/2006/relationships/footer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2026-10-23T08:19:53Z</dcterms:created>
  <dc:creator/>
  <dc:title>ACME-ADCS: Implementation Guide</dc:title>
</cp:coreProperties>
</file>