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Literature Review Theme Paragraphs for Section 2.3</w:t>
      </w:r>
    </w:p>
    <w:p>
      <w:pPr>
        <w:jc w:val="center"/>
      </w:pPr>
      <w:r>
        <w:rPr>
          <w:rFonts w:ascii="Times New Roman" w:hAnsi="Times New Roman"/>
          <w:i/>
          <w:sz w:val="22"/>
        </w:rPr>
        <w:t>Machine Learning and Simulation Frameworks for Border-Control Capacity Assessment: Evidence from Post-Brexit Agri-Food Logistics</w:t>
      </w:r>
    </w:p>
    <w:p>
      <w:r>
        <w:rPr>
          <w:rFonts w:ascii="Times New Roman" w:hAnsi="Times New Roman"/>
          <w:color w:val="555555"/>
          <w:sz w:val="20"/>
        </w:rPr>
        <w:t>Each paragraph introduces the concept, synthesises at least three studies comparatively, links the evidence to the present DES–ML framework (AnyLogic RoRo DES → NOLHC → multi-KPI surrogates → conformal UQ → UI screening), and cites sources for technical claims. Target length: 120–140 words per paragraph.</w:t>
      </w:r>
    </w:p>
    <w:p>
      <w:r>
        <w:rPr>
          <w:rFonts w:ascii="Times New Roman" w:hAnsi="Times New Roman"/>
          <w:b/>
          <w:sz w:val="24"/>
        </w:rPr>
        <w:t>Theme 1 — ML surrogates replacing expensive simulation in supply chains / logistics</w:t>
      </w:r>
    </w:p>
    <w:p>
      <w:pPr>
        <w:ind w:firstLine="720"/>
        <w:jc w:val="both"/>
      </w:pPr>
      <w:r>
        <w:rPr>
          <w:rFonts w:ascii="Times New Roman" w:hAnsi="Times New Roman"/>
          <w:sz w:val="24"/>
        </w:rPr>
        <w:t>Machine-learning surrogates treat expensive discrete-event simulation (DES) runs as labelled experiments and replace later full-system evaluations with fast predictors under limited budgets. Recent reviews show hybrid simulation–ML research in supply chains has intensified, using sequential and feedback data flows to overcome the separate limits of simulation and predictive modelling (Badakhshan, Mustafee and Bahadori, 2024; Kogler and Maxera, 2025). Relative to these broader taxonomies, Zhang et al. (2024) offer a more operational account: DES generates learning data under historical scarcity, and ML then runs alongside or instead of the simulator. Applied couplings likewise integrate regression or neural models with DES for cost and operational KPI estimation in maritime logistics (Le and Xuan-Thi-Thu, 2024). These findings motivate the present framework, where an AnyLogic RoRo border-control DES supplies training data for multi-KPI surrogates used in millisecond, human-on-the-loop screening.</w:t>
      </w:r>
    </w:p>
    <w:p>
      <w:r>
        <w:rPr>
          <w:i/>
          <w:color w:val="666666"/>
          <w:sz w:val="18"/>
        </w:rPr>
        <w:t>[Word count: 136]</w:t>
      </w:r>
    </w:p>
    <w:p>
      <w:r>
        <w:rPr>
          <w:rFonts w:ascii="Times New Roman" w:hAnsi="Times New Roman"/>
          <w:b/>
          <w:sz w:val="24"/>
        </w:rPr>
        <w:t>Theme 2 — LHS-designed experiments and comparing many surrogate families</w:t>
      </w:r>
    </w:p>
    <w:p>
      <w:pPr>
        <w:ind w:firstLine="720"/>
        <w:jc w:val="both"/>
      </w:pPr>
      <w:r>
        <w:rPr>
          <w:rFonts w:ascii="Times New Roman" w:hAnsi="Times New Roman"/>
          <w:sz w:val="24"/>
        </w:rPr>
        <w:t>When a metamodel replaces an expensive simulator, accuracy depends jointly on training-point placement and surrogate-family choice. Latin hypercube designs remain a standard space-filling strategy because they combine coverage with controllable factor correlation (Viana, 2016; Afzal, Kim and Seo, 2017). Later refinements, such as Latinised particle sampling, strengthen correlation control and information extraction from a single sample (Prots, Voigt and Mailach, 2023), while Afzal, Kim and Seo (2017) show that sample size and spatial distribution shape exploration–exploitation behaviour. On the modelling side, no family wins uniformly: the no-free-lunch principle requires problem-dependent selection rather than a universal default (Bogoclu, Roos and Nestorović, 2021). This joint design–model evidence underpins the present 129-run Nearly Orthogonal Latin Hypercube over border-control inputs and the per-KPI benchmark of multiple regressors.</w:t>
      </w:r>
    </w:p>
    <w:p>
      <w:r>
        <w:rPr>
          <w:i/>
          <w:color w:val="666666"/>
          <w:sz w:val="18"/>
        </w:rPr>
        <w:t>[Word count: 125]</w:t>
      </w:r>
    </w:p>
    <w:p>
      <w:r>
        <w:rPr>
          <w:rFonts w:ascii="Times New Roman" w:hAnsi="Times New Roman"/>
          <w:b/>
          <w:sz w:val="24"/>
        </w:rPr>
        <w:t>Theme 3 — Stacking and per-target ensemble selection</w:t>
      </w:r>
    </w:p>
    <w:p>
      <w:pPr>
        <w:ind w:firstLine="720"/>
        <w:jc w:val="both"/>
      </w:pPr>
      <w:r>
        <w:rPr>
          <w:rFonts w:ascii="Times New Roman" w:hAnsi="Times New Roman"/>
          <w:sz w:val="24"/>
        </w:rPr>
        <w:t>Stacking combines heterogeneous base learners through a meta-learner when fixing one inductive bias is risky for nonlinear simulator responses. Empirical studies report clear gains over single surrogates: optimised stacking cut cross-validated error sharply relative to base models in aquifer remediation (Shams, Alimohammadi and Yazdi, 2021), and local weighted stacking improved robustness in hydrodynamic prediction (Xu et al., 2022). Those gains are conditional. Hierarchical portfolio stacking and heterogeneous multiproblem surrogates retain ensembles only when generalisation error or adaptive validation justifies the complexity, and they filter candidates to avoid negative transfer (Ozelim et al., 2023; Li et al., 2025). Stacking is therefore best treated as a challenger to GPR or tree models, not an automatic upgrade. The present DES–ML engine follows that rule, registering Ridge stacking for a border-control KPI only when it improves cross-validated RMSE over the best individual surrogate.</w:t>
      </w:r>
    </w:p>
    <w:p>
      <w:r>
        <w:rPr>
          <w:i/>
          <w:color w:val="666666"/>
          <w:sz w:val="18"/>
        </w:rPr>
        <w:t>[Word count: 140]</w:t>
      </w:r>
    </w:p>
    <w:p>
      <w:r>
        <w:rPr>
          <w:rFonts w:ascii="Times New Roman" w:hAnsi="Times New Roman"/>
          <w:b/>
          <w:sz w:val="24"/>
        </w:rPr>
        <w:t>Theme 4 — Uncertainty: conformal prediction intervals and GPR variance</w:t>
      </w:r>
    </w:p>
    <w:p>
      <w:pPr>
        <w:ind w:firstLine="720"/>
        <w:jc w:val="both"/>
      </w:pPr>
      <w:r>
        <w:rPr>
          <w:rFonts w:ascii="Times New Roman" w:hAnsi="Times New Roman"/>
          <w:sz w:val="24"/>
        </w:rPr>
        <w:t>Point forecasts alone are insufficient for operational screening when DES outputs are stochastic and some KPIs approach congestion thresholds. Gaussian process regression provides useful predictive variance, yet those intervals can undercover under misspecification (Papadopoulos, 2023; Pion and Vazquez, 2024). Conformal prediction instead builds model-agnostic intervals with finite-sample marginal coverage that can wrap deterministic or probabilistic surrogates at low calibration cost (Gopakumar et al., 2024). Hybrid GP–conformal and hierarchical conformal methods further show that adaptive width and validity are complementary, and that GP or Bayesian calibration alone is often inadequate (Jaber et al., 2024; Shahbazi, Baheri and Azadeh-Fard, 2026). The shared prescription is to separate prediction from distribution-free uncertainty reporting. The present framework therefore attaches 90% split-conformal intervals to out-of-fold residuals of each selected KPI surrogate.</w:t>
      </w:r>
    </w:p>
    <w:p>
      <w:r>
        <w:rPr>
          <w:i/>
          <w:color w:val="666666"/>
          <w:sz w:val="18"/>
        </w:rPr>
        <w:t>[Word count: 126]</w:t>
      </w:r>
    </w:p>
    <w:p>
      <w:r>
        <w:rPr>
          <w:rFonts w:ascii="Times New Roman" w:hAnsi="Times New Roman"/>
          <w:b/>
          <w:sz w:val="24"/>
        </w:rPr>
        <w:t>Theme 5 — Closest end-to-end DES–ML analogues</w:t>
      </w:r>
    </w:p>
    <w:p>
      <w:pPr>
        <w:ind w:firstLine="720"/>
        <w:jc w:val="both"/>
      </w:pPr>
      <w:r>
        <w:rPr>
          <w:rFonts w:ascii="Times New Roman" w:hAnsi="Times New Roman"/>
          <w:sz w:val="24"/>
        </w:rPr>
        <w:t>End-to-end DES–ML analogues couple simulation, learning, and decision support rather than treating any layer alone. Supply-chain reviews document rapid growth in hybrid discrete simulation–machine learning research and identify sequential and feedback data-flow patterns linking the two methods (Kogler and Maxera, 2025; Badakhshan, Mustafee and Bahadori, 2024). Applied systems are more concrete but narrower: Zhang et al. (2024) use DES-generated data for predictive analytics under disruption, whereas Le and Xuan-Thi-Thu (2024) feed ML cost estimates into DES for sustainable maritime decisions. Relative to those hybrids, multi-KPI uncertainty reporting remains comparatively underdeveloped (Badakhshan, Mustafee and Bahadori, 2024). The present framework extends the shared sim→ML→decision-support logic by linking an AnyLogic border-control DES to NOLHC-trained multi-output surrogates and conformal intervals for offline, uncertainty-aware screening.</w:t>
      </w:r>
    </w:p>
    <w:p>
      <w:r>
        <w:rPr>
          <w:i/>
          <w:color w:val="666666"/>
          <w:sz w:val="18"/>
        </w:rPr>
        <w:t>[Word count: 124]</w:t>
      </w:r>
    </w:p>
    <w:p>
      <w:r>
        <w:rPr>
          <w:rFonts w:ascii="Times New Roman" w:hAnsi="Times New Roman"/>
          <w:b/>
          <w:sz w:val="24"/>
        </w:rPr>
        <w:t>References cited in the theme paragraphs</w:t>
      </w:r>
    </w:p>
    <w:p>
      <w:pPr>
        <w:spacing w:after="80"/>
        <w:ind w:left="720" w:hanging="720"/>
      </w:pPr>
      <w:r>
        <w:rPr>
          <w:rFonts w:ascii="Times New Roman" w:hAnsi="Times New Roman"/>
          <w:sz w:val="20"/>
        </w:rPr>
        <w:t>Afzal, A., Kim, K. and Seo, J.-W. (2017) ‘Effects of Latin hypercube sampling on surrogate modeling and optimization’, International Journal of Fluid Machinery and Systems, 10, pp. 240–253. doi: 10.5293/ijfms.2017.10.3.240.</w:t>
      </w:r>
    </w:p>
    <w:p>
      <w:pPr>
        <w:spacing w:after="80"/>
        <w:ind w:left="720" w:hanging="720"/>
      </w:pPr>
      <w:r>
        <w:rPr>
          <w:rFonts w:ascii="Times New Roman" w:hAnsi="Times New Roman"/>
          <w:sz w:val="20"/>
        </w:rPr>
        <w:t>Badakhshan, E., Mustafee, N. and Bahadori, R. (2024) ‘Application of simulation and machine learning in supply chain management: A synthesis of the literature using the Sim-ML literature classification framework’, Computers &amp; Industrial Engineering, 198, 110649. doi: 10.1016/j.cie.2024.110649.</w:t>
      </w:r>
    </w:p>
    <w:p>
      <w:pPr>
        <w:spacing w:after="80"/>
        <w:ind w:left="720" w:hanging="720"/>
      </w:pPr>
      <w:r>
        <w:rPr>
          <w:rFonts w:ascii="Times New Roman" w:hAnsi="Times New Roman"/>
          <w:sz w:val="20"/>
        </w:rPr>
        <w:t>Bogoclu, C., Roos, D. and Nestorović, T. (2021) ‘Local Latin hypercube refinement for multi-objective design uncertainty optimization’, Applied Soft Computing, 112, 107807. doi: 10.1016/j.asoc.2021.107807.</w:t>
      </w:r>
    </w:p>
    <w:p>
      <w:pPr>
        <w:spacing w:after="80"/>
        <w:ind w:left="720" w:hanging="720"/>
      </w:pPr>
      <w:r>
        <w:rPr>
          <w:rFonts w:ascii="Times New Roman" w:hAnsi="Times New Roman"/>
          <w:sz w:val="20"/>
        </w:rPr>
        <w:t>Gopakumar, V., Gray, A., Oskarsson, J., Zanisi, L., Pamela, S., Giles, D., Kusner, M.J. and Deisenroth, M. (2024) ‘Uncertainty quantification of surrogate models using conformal prediction’, Machine Learning: Science and Technology.</w:t>
      </w:r>
    </w:p>
    <w:p>
      <w:pPr>
        <w:spacing w:after="80"/>
        <w:ind w:left="720" w:hanging="720"/>
      </w:pPr>
      <w:r>
        <w:rPr>
          <w:rFonts w:ascii="Times New Roman" w:hAnsi="Times New Roman"/>
          <w:sz w:val="20"/>
        </w:rPr>
        <w:t>Jaber, E., Blot, V., Brunel, N., Chabridon, V., Remy, E., Iooss, B., Lucor, D., Mougeot, M. and Leite, A. (2024) ‘Conformal approach to Gaussian process surrogate evaluation with coverage guarantees’, arXiv preprint.</w:t>
      </w:r>
    </w:p>
    <w:p>
      <w:pPr>
        <w:spacing w:after="80"/>
        <w:ind w:left="720" w:hanging="720"/>
      </w:pPr>
      <w:r>
        <w:rPr>
          <w:rFonts w:ascii="Times New Roman" w:hAnsi="Times New Roman"/>
          <w:sz w:val="20"/>
        </w:rPr>
        <w:t>Kogler, C. and Maxera, P. (2025) ‘A literature review of supply chain analyses integrating discrete simulation modelling and machine learning’, Journal of Simulation, 20, pp. 110–134. doi: 10.1080/17477778.2025.2500393.</w:t>
      </w:r>
    </w:p>
    <w:p>
      <w:pPr>
        <w:spacing w:after="80"/>
        <w:ind w:left="720" w:hanging="720"/>
      </w:pPr>
      <w:r>
        <w:rPr>
          <w:rFonts w:ascii="Times New Roman" w:hAnsi="Times New Roman"/>
          <w:sz w:val="20"/>
        </w:rPr>
        <w:t>Le, L. and Xuan-Thi-Thu, T. (2024) ‘Discovering supply chain operation towards sustainability using machine learning and DES techniques: a case study in Vietnam seafood’, Maritime Business Review. doi: 10.1108/mabr-10-2023-0074.</w:t>
      </w:r>
    </w:p>
    <w:p>
      <w:pPr>
        <w:spacing w:after="80"/>
        <w:ind w:left="720" w:hanging="720"/>
      </w:pPr>
      <w:r>
        <w:rPr>
          <w:rFonts w:ascii="Times New Roman" w:hAnsi="Times New Roman"/>
          <w:sz w:val="20"/>
        </w:rPr>
        <w:t>Li, H., Xiong, P., Gong, M., Qin, A.K., Wu, Y. and Xing, L. (2025) ‘Fast heterogeneous multiproblem surrogates for transfer evolutionary multiobjective optimization’, IEEE Transactions on Evolutionary Computation.</w:t>
      </w:r>
    </w:p>
    <w:p>
      <w:pPr>
        <w:spacing w:after="80"/>
        <w:ind w:left="720" w:hanging="720"/>
      </w:pPr>
      <w:r>
        <w:rPr>
          <w:rFonts w:ascii="Times New Roman" w:hAnsi="Times New Roman"/>
          <w:sz w:val="20"/>
        </w:rPr>
        <w:t>Ozelim, L., Ribeiro, D., Schiavon, J.A., Domingues, V.R. and de Queiroz, P.I.B. (2023) ‘HPOSS: A hierarchical portfolio optimization stacking strategy to reduce the generalization error of ensembles of models’, PLOS ONE, 18. doi: 10.1371/journal.pone.0290331.</w:t>
      </w:r>
    </w:p>
    <w:p>
      <w:pPr>
        <w:spacing w:after="80"/>
        <w:ind w:left="720" w:hanging="720"/>
      </w:pPr>
      <w:r>
        <w:rPr>
          <w:rFonts w:ascii="Times New Roman" w:hAnsi="Times New Roman"/>
          <w:sz w:val="20"/>
        </w:rPr>
        <w:t>Papadopoulos, H. (2023) ‘Guaranteed coverage prediction intervals with Gaussian process regression’, IEEE Transactions on Pattern Analysis and Machine Intelligence, 46, pp. 9072–9083. doi: 10.1109/tpami.2024.3418214.</w:t>
      </w:r>
    </w:p>
    <w:p>
      <w:pPr>
        <w:spacing w:after="80"/>
        <w:ind w:left="720" w:hanging="720"/>
      </w:pPr>
      <w:r>
        <w:rPr>
          <w:rFonts w:ascii="Times New Roman" w:hAnsi="Times New Roman"/>
          <w:sz w:val="20"/>
        </w:rPr>
        <w:t>Pion, A. and Vazquez, E. (2024) ‘Gaussian process interpolation with conformal prediction: methods and comparative analysis’, arXiv preprint.</w:t>
      </w:r>
    </w:p>
    <w:p>
      <w:pPr>
        <w:spacing w:after="80"/>
        <w:ind w:left="720" w:hanging="720"/>
      </w:pPr>
      <w:r>
        <w:rPr>
          <w:rFonts w:ascii="Times New Roman" w:hAnsi="Times New Roman"/>
          <w:sz w:val="20"/>
        </w:rPr>
        <w:t>Prots, A., Voigt, M. and Mailach, R. (2023) ‘A charged particle-inspired sampling scheme for improved surrogate model quality’, Probabilistic Engineering Mechanics. doi: 10.1016/j.probengmech.2023.103447.</w:t>
      </w:r>
    </w:p>
    <w:p>
      <w:pPr>
        <w:spacing w:after="80"/>
        <w:ind w:left="720" w:hanging="720"/>
      </w:pPr>
      <w:r>
        <w:rPr>
          <w:rFonts w:ascii="Times New Roman" w:hAnsi="Times New Roman"/>
          <w:sz w:val="20"/>
        </w:rPr>
        <w:t>Shahbazi, M.A., Baheri, A. and Azadeh-Fard, N. (2026) ‘A hierarchical conformal framework for uncertainty-aware length of stay prediction in multi-hospital settings’, Scientific Reports, 16. doi: 10.1038/s41598-026-37450-w.</w:t>
      </w:r>
    </w:p>
    <w:p>
      <w:pPr>
        <w:spacing w:after="80"/>
        <w:ind w:left="720" w:hanging="720"/>
      </w:pPr>
      <w:r>
        <w:rPr>
          <w:rFonts w:ascii="Times New Roman" w:hAnsi="Times New Roman"/>
          <w:sz w:val="20"/>
        </w:rPr>
        <w:t>Shams, R., Alimohammadi, S. and Yazdi, J. (2021) ‘Optimized stacking, a new method for constructing ensemble surrogate models applied to DNAPL-contaminated aquifer remediation’, Journal of Contaminant Hydrology, 243, 103914. doi: 10.1016/j.jconhyd.2021.103914.</w:t>
      </w:r>
    </w:p>
    <w:p>
      <w:pPr>
        <w:spacing w:after="80"/>
        <w:ind w:left="720" w:hanging="720"/>
      </w:pPr>
      <w:r>
        <w:rPr>
          <w:rFonts w:ascii="Times New Roman" w:hAnsi="Times New Roman"/>
          <w:sz w:val="20"/>
        </w:rPr>
        <w:t>Viana, F.A.C. (2016) ‘A tutorial on Latin hypercube design of experiments’, Quality and Reliability Engineering International, 32, pp. 1975–1985. doi: 10.1002/qre.1924.</w:t>
      </w:r>
    </w:p>
    <w:p>
      <w:pPr>
        <w:spacing w:after="80"/>
        <w:ind w:left="720" w:hanging="720"/>
      </w:pPr>
      <w:r>
        <w:rPr>
          <w:rFonts w:ascii="Times New Roman" w:hAnsi="Times New Roman"/>
          <w:sz w:val="20"/>
        </w:rPr>
        <w:t>Xu, G., Wei, H., Wang, J., Chen, X.-B. and Zhu, B. (2022) ‘A local weighted linear regression (LWLR) ensemble of surrogate models based on stacking strategy: application to hydrodynamic response prediction for submerged floating tunnel (SFT)’, Applied Ocean Research. doi: 10.1016/j.apor.2022.103228.</w:t>
      </w:r>
    </w:p>
    <w:p>
      <w:pPr>
        <w:spacing w:after="80"/>
        <w:ind w:left="720" w:hanging="720"/>
      </w:pPr>
      <w:r>
        <w:rPr>
          <w:rFonts w:ascii="Times New Roman" w:hAnsi="Times New Roman"/>
          <w:sz w:val="20"/>
        </w:rPr>
        <w:t>Zhang, T., Lauras, M., Zacharewicz, G., Rabah, S. and Bénaben, F. (2024) ‘Coupling simulation and machine learning for predictive analytics in supply chain management’, International Journal of Production Research, 62, pp. 8397–8414. doi: 10.1080/00207543.2024.2342019.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