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b/>
          <w:bCs/>
        </w:rPr>
        <w:t xml:space="preserve">Section 2.3 — New Theme Paragraphs (Task 1 SOTA Review)</w:t>
      </w:r>
    </w:p>
    <w:p>
      <w:pPr>
        <w:spacing w:after="60"/>
      </w:pPr>
      <w:r>
        <w:rPr>
          <w:i/>
          <w:iCs/>
          <w:sz w:val="22"/>
          <w:szCs w:val="22"/>
        </w:rPr>
        <w:t xml:space="preserve">Machine Learning and Simulation Frameworks for Border-Control Capacity Assessment: Evidence from Post-Brexit Agri-Food Logistics</w:t>
      </w:r>
    </w:p>
    <w:p>
      <w:pPr>
        <w:spacing w:after="240"/>
      </w:pPr>
      <w:r>
        <w:rPr>
          <w:i/>
          <w:iCs/>
          <w:color w:val="555555"/>
          <w:sz w:val="20"/>
          <w:szCs w:val="20"/>
        </w:rPr>
        <w:t xml:space="preserve">Extends the existing Theme 1–5 paragraphs. Same format: introduce the concept, synthesise at least three studies, link to the present DES–ML framework, cite sources. Target 120–140 words.</w:t>
      </w:r>
    </w:p>
    <w:p>
      <w:pPr>
        <w:spacing w:after="120" w:before="300"/>
      </w:pPr>
      <w:r>
        <w:rPr>
          <w:b/>
          <w:bCs/>
          <w:sz w:val="24"/>
          <w:szCs w:val="24"/>
        </w:rPr>
        <w:t xml:space="preserve">Theme 6 — Native uncertainty from tree ensembles and ensemble disagreement</w:t>
      </w:r>
    </w:p>
    <w:p>
      <w:pPr>
        <w:spacing w:after="80"/>
        <w:jc w:val="both"/>
      </w:pPr>
      <w:r>
        <w:rPr>
          <w:sz w:val="22"/>
          <w:szCs w:val="22"/>
        </w:rPr>
        <w:t xml:space="preserve">Point predictions from Random Forest and Gradient Boosting carry no native variance, so the present framework borrows uncertainty from split-conformal residuals rather than the trees themselves. The infinitesimal jackknife recovers per-prediction variance from bootstrap covariance between trees and predictions, giving Random Forest a standard error instead of one marginal band (Wager, Hastie and Efron, 2014). Quantile regression forests use each leaf's full conditional distribution to predict any quantile, not just the mean (Meinshausen, 2006), while NGBoost reframes boosting as distributional regression via natural gradients (Duan et al., 2020). Deep and multi-output ensembles confirm, outside tree models, that prediction spread across independently trained learners approximates epistemic uncertainty (Lakshminarayanan, Pritzel and Blundell, 2017; Yang and Yee, 2024). Applied here, these methods would band the tree-family-won KPIs — five of twenty in the benchmark — while GPR-, Elastic-Net- and Stacking-won KPIs keep the conformal wrapper.</w:t>
      </w:r>
    </w:p>
    <w:p>
      <w:pPr>
        <w:spacing w:after="240"/>
      </w:pPr>
      <w:r>
        <w:rPr>
          <w:i/>
          <w:iCs/>
          <w:color w:val="555555"/>
          <w:sz w:val="20"/>
          <w:szCs w:val="20"/>
        </w:rPr>
        <w:t xml:space="preserve">[Word count: 142]</w:t>
      </w:r>
    </w:p>
    <w:p>
      <w:pPr>
        <w:spacing w:after="120" w:before="300"/>
      </w:pPr>
      <w:r>
        <w:rPr>
          <w:b/>
          <w:bCs/>
          <w:sz w:val="24"/>
          <w:szCs w:val="24"/>
        </w:rPr>
        <w:t xml:space="preserve">Theme 7 — Batch/active learning for expensive simulators</w:t>
      </w:r>
    </w:p>
    <w:p>
      <w:pPr>
        <w:spacing w:after="80"/>
        <w:jc w:val="both"/>
      </w:pPr>
      <w:r>
        <w:rPr>
          <w:sz w:val="22"/>
          <w:szCs w:val="22"/>
        </w:rPr>
        <w:t xml:space="preserve">Sequential design turns experimentation into a loop: the surrogate flags where it is least reliable, the simulator is queried there, and the model retrains. Local Latin hypercube refinement adds points where responses are non-uniform, correcting a fixed LHS design after the fact (Bogoclu, Roos and Nestorović, 2021). Batch-sequential design for stochastic simulators formalises replicating existing points versus exploring new ones, choosing whichever most reduces posterior predictive uncertainty under a fixed budget (Sürer, 2025). Active learning of deep-network surrogates shows the same logic scales to expensive physics simulators, where training-run selection outperforms uniform sampling under a limited query budget (Bajracharya et al., 2024). None of these touch a fixed, already-collected design: the 129-run NOLHC sample was drawn once and never revisited. A batch-sequential extension would spend new DES runs where the surrogate, not the original design, says they are needed.</w:t>
      </w:r>
    </w:p>
    <w:p>
      <w:pPr>
        <w:spacing w:after="240"/>
      </w:pPr>
      <w:r>
        <w:rPr>
          <w:i/>
          <w:iCs/>
          <w:color w:val="555555"/>
          <w:sz w:val="20"/>
          <w:szCs w:val="20"/>
        </w:rPr>
        <w:t xml:space="preserve">[Word count: 139]</w:t>
      </w:r>
    </w:p>
    <w:p>
      <w:pPr>
        <w:spacing w:after="120" w:before="300"/>
      </w:pPr>
      <w:r>
        <w:rPr>
          <w:b/>
          <w:bCs/>
          <w:sz w:val="24"/>
          <w:szCs w:val="24"/>
        </w:rPr>
        <w:t xml:space="preserve">Theme 8 — Novelty/drift detection and separating DES noise from surrogate error</w:t>
      </w:r>
    </w:p>
    <w:p>
      <w:pPr>
        <w:spacing w:after="80"/>
        <w:jc w:val="both"/>
      </w:pPr>
      <w:r>
        <w:rPr>
          <w:sz w:val="22"/>
          <w:szCs w:val="22"/>
        </w:rPr>
        <w:t xml:space="preserve">A deployed surrogate faces inputs its training design never anticipated, and flagging a genuinely novel scenario is distinct from reporting interval width. Novelty-aware drift detection separates a shift from unfamiliar inputs from a shift in the underlying input-output relationship (Shang, Zhang and Lu, 2025). CDSeer shows model-agnostic drift detection flags retraining need using a fraction of the labelled data earlier methods required, a real constraint given DES re-run cost (Pham et al., 2024). Stochastic kriging addresses a related problem, partitioning prediction uncertainty into intrinsic variance from stochastic replications and extrinsic variance from the metamodel, rather than one combined error term (Ankenman, Nelson and Staum, 2010). The present formulation, where a single epsilon absorbs both simulation noise and metamodel error, cannot make this distinction; separating the two decides whether an uncertain point needs another DES replication or a new design point.</w:t>
      </w:r>
    </w:p>
    <w:p>
      <w:pPr>
        <w:spacing w:after="240"/>
      </w:pPr>
      <w:r>
        <w:rPr>
          <w:i/>
          <w:iCs/>
          <w:color w:val="555555"/>
          <w:sz w:val="20"/>
          <w:szCs w:val="20"/>
        </w:rPr>
        <w:t xml:space="preserve">[Word count: 140]</w:t>
      </w:r>
    </w:p>
    <w:p>
      <w:pPr>
        <w:pStyle w:val="Heading1"/>
        <w:spacing w:after="160" w:before="400"/>
      </w:pPr>
      <w:r>
        <w:rPr>
          <w:b/>
          <w:bCs/>
        </w:rPr>
        <w:t xml:space="preserve">Task 1 SOTA Gist</w:t>
      </w:r>
    </w:p>
    <w:p>
      <w:pPr>
        <w:spacing w:after="80"/>
        <w:jc w:val="both"/>
      </w:pPr>
      <w:r>
        <w:rPr>
          <w:sz w:val="22"/>
          <w:szCs w:val="22"/>
        </w:rPr>
        <w:t xml:space="preserve">SOTA Gist — Uncertainty-Aware, Adaptive Sampling for DES-ML Surrogates</w:t>
      </w:r>
    </w:p>
    <w:p>
      <w:pPr>
        <w:spacing w:after="80"/>
        <w:jc w:val="both"/>
      </w:pPr>
      <w:r>
        <w:rPr>
          <w:sz w:val="22"/>
          <w:szCs w:val="22"/>
        </w:rPr>
        <w:t xml:space="preserve">Where the field stands. Three literatures currently run in parallel. First, tree-ensemble uncertainty: the infinitesimal jackknife (Wager, Hastie and Efron, 2014), quantile regression forests (Meinshausen, 2006) and NGBoost (Duan et al., 2020) give Random Forest and Gradient Boosting genuine per-prediction variance, an alternative to the marginal, fixed-width conformal band the present framework currently uses. Ensemble methods (Lakshminarayanan, Pritzel and Blundell, 2017; Yang and Yee, 2024) reach the same input-dependent uncertainty through model disagreement rather than tree structure. Second, active/batch-sequential design: local LHS refinement (Bogoclu, Roos and Nestorović, 2021), batch-sequential calibration for stochastic simulators (Sürer, 2025), and active learning of simulation surrogates (Bajracharya et al., 2024) all show that letting the model choose where to query the simulator next outperforms a fixed, one-shot design — but each is demonstrated on a single expensive simulator with no post-deployment component. Third, drift and novelty detection: novelty-aware drift detection (Shang, Zhang and Lu, 2025) and label-efficient drift detection (Pham et al., 2024) flag when live data no longer matches the training distribution, and stochastic kriging (Ankenman, Nelson and Staum, 2010) shows how to keep simulation replication noise separate from metamodel uncertainty rather than folding both into one error term.</w:t>
      </w:r>
    </w:p>
    <w:p>
      <w:pPr>
        <w:spacing w:after="80"/>
        <w:jc w:val="both"/>
      </w:pPr>
      <w:r>
        <w:rPr>
          <w:sz w:val="22"/>
          <w:szCs w:val="22"/>
        </w:rPr>
        <w:t xml:space="preserve">What doesn't yet exist. No method found couples all three: a tree-ensemble-native uncertainty estimate, a batch-sequential sampling loop that consumes that estimate to decide where to spend the next DES run, and a novelty-detection layer that applies the identical trust threshold to inputs arriving after deployment rather than only to points proposed during training. Active-learning papers stop at model-construction time; drift-detection papers assume the model is already frozen and do not feed detected drift back into a resampling decision; conformal-UQ papers (already covered in Section 2.3, Theme 4) calibrate after the fact rather than steering where new data comes from.</w:t>
      </w:r>
    </w:p>
    <w:p>
      <w:pPr>
        <w:spacing w:after="80"/>
        <w:jc w:val="both"/>
      </w:pPr>
      <w:r>
        <w:rPr>
          <w:sz w:val="22"/>
          <w:szCs w:val="22"/>
        </w:rPr>
        <w:t xml:space="preserve">Our contribution. A single trust criterion — RF/GBM-native predictive variance, thresholded consistently — drives two branches of one loop: (1) pre-deployment, it selects which candidate design points get the next batch of DES runs; (2) post-deployment, it flags incoming scenarios as either within-domain (predict with confidence) or novel (defer to DES or flag for review). Both branches retrain and recalibrate the same surrogate. This closes the specific gap the manuscript's own methodology section (Section 4.4) already names: that its conformal interval "does not vary with x*" and is "marginal" rather than input-dependent.</w:t>
      </w:r>
    </w:p>
    <w:p>
      <w:pPr>
        <w:pStyle w:val="Heading1"/>
        <w:spacing w:after="160" w:before="400"/>
      </w:pPr>
      <w:r>
        <w:rPr>
          <w:b/>
          <w:bCs/>
        </w:rPr>
        <w:t xml:space="preserve">References (new, to append to the existing Theme 1–5 reference list)</w:t>
      </w:r>
    </w:p>
    <w:p>
      <w:pPr>
        <w:spacing w:after="100"/>
      </w:pPr>
      <w:r>
        <w:rPr>
          <w:sz w:val="20"/>
          <w:szCs w:val="20"/>
        </w:rPr>
        <w:t xml:space="preserve">Ankenman, B., Nelson, B.L. and Staum, J. (2010) 'Stochastic kriging for simulation metamodeling', Operations Research, 58(2), pp. 371–382. doi: 10.1287/opre.1090.0754.</w:t>
      </w:r>
    </w:p>
    <w:p>
      <w:pPr>
        <w:spacing w:after="100"/>
      </w:pPr>
      <w:r>
        <w:rPr>
          <w:sz w:val="20"/>
          <w:szCs w:val="20"/>
        </w:rPr>
        <w:t xml:space="preserve">Bajracharya, P., Toledo-Marín, J.Q., Fox, G., Jha, S. and Wang, L. (2024) 'Feasibility study on active learning of smart surrogates for scientific simulations', arXiv preprint arXiv:2407.07674.</w:t>
      </w:r>
    </w:p>
    <w:p>
      <w:pPr>
        <w:spacing w:after="100"/>
      </w:pPr>
      <w:r>
        <w:rPr>
          <w:sz w:val="20"/>
          <w:szCs w:val="20"/>
        </w:rPr>
        <w:t xml:space="preserve">Bogoclu, C., Roos, D. and Nestorović, T. (2021) 'Local Latin hypercube refinement for multi-objective design uncertainty optimization', Applied Soft Computing, 112, 107807. doi: 10.1016/j.asoc.2021.107807.</w:t>
      </w:r>
    </w:p>
    <w:p>
      <w:pPr>
        <w:spacing w:after="100"/>
      </w:pPr>
      <w:r>
        <w:rPr>
          <w:sz w:val="20"/>
          <w:szCs w:val="20"/>
        </w:rPr>
        <w:t xml:space="preserve">Duan, T., Avati, A., Ding, D.Y., Thai, K.K., Basu, S., Ng, A.Y. and Schuler, A. (2020) 'NGBoost: natural gradient boosting for probabilistic prediction', Proceedings of the 37th International Conference on Machine Learning, PMLR 119, pp. 2690–2700.</w:t>
      </w:r>
    </w:p>
    <w:p>
      <w:pPr>
        <w:spacing w:after="100"/>
      </w:pPr>
      <w:r>
        <w:rPr>
          <w:sz w:val="20"/>
          <w:szCs w:val="20"/>
        </w:rPr>
        <w:t xml:space="preserve">Lakshminarayanan, B., Pritzel, A. and Blundell, C. (2017) 'Simple and scalable predictive uncertainty estimation using deep ensembles', Advances in Neural Information Processing Systems 30 (NeurIPS 2017), pp. 6402–6413.</w:t>
      </w:r>
    </w:p>
    <w:p>
      <w:pPr>
        <w:spacing w:after="100"/>
      </w:pPr>
      <w:r>
        <w:rPr>
          <w:sz w:val="20"/>
          <w:szCs w:val="20"/>
        </w:rPr>
        <w:t xml:space="preserve">Meinshausen, N. (2006) 'Quantile regression forests', Journal of Machine Learning Research, 7, pp. 983–999.</w:t>
      </w:r>
    </w:p>
    <w:p>
      <w:pPr>
        <w:spacing w:after="100"/>
      </w:pPr>
      <w:r>
        <w:rPr>
          <w:sz w:val="20"/>
          <w:szCs w:val="20"/>
        </w:rPr>
        <w:t xml:space="preserve">Pham, T.M.T., Premkumar, K., Naili, M. and Yang, J. (2024) 'Time to retrain? Detecting concept drifts in machine learning systems', arXiv preprint arXiv:2410.09190.</w:t>
      </w:r>
    </w:p>
    <w:p>
      <w:pPr>
        <w:spacing w:after="100"/>
      </w:pPr>
      <w:r>
        <w:rPr>
          <w:sz w:val="20"/>
          <w:szCs w:val="20"/>
        </w:rPr>
        <w:t xml:space="preserve">Shang, D., Zhang, G. and Lu, J. (2025) 'Novelty-aware concept drift detection for neural networks', Neurocomputing, 617, 128933. doi: 10.1016/j.neucom.2024.128933.</w:t>
      </w:r>
    </w:p>
    <w:p>
      <w:pPr>
        <w:spacing w:after="100"/>
      </w:pPr>
      <w:r>
        <w:rPr>
          <w:sz w:val="20"/>
          <w:szCs w:val="20"/>
        </w:rPr>
        <w:t xml:space="preserve">Sürer, Ö. (2025) 'Batch sequential experimental design for calibration of stochastic simulation models', Technometrics, 68(1). doi: 10.1080/00401706.2025.2520860.</w:t>
      </w:r>
    </w:p>
    <w:p>
      <w:pPr>
        <w:spacing w:after="100"/>
      </w:pPr>
      <w:r>
        <w:rPr>
          <w:sz w:val="20"/>
          <w:szCs w:val="20"/>
        </w:rPr>
        <w:t xml:space="preserve">Wager, S., Hastie, T. and Efron, B. (2014) 'Confidence intervals for random forests: the jackknife and the infinitesimal jackknife', Journal of Machine Learning Research, 15(1), pp. 1625–1651.</w:t>
      </w:r>
    </w:p>
    <w:p>
      <w:pPr>
        <w:spacing w:after="100"/>
      </w:pPr>
      <w:r>
        <w:rPr>
          <w:sz w:val="20"/>
          <w:szCs w:val="20"/>
        </w:rPr>
        <w:t xml:space="preserve">Yang, S. and Yee, K. (2024) 'Towards reliable uncertainty quantification via deep ensemble in multi-output regression task', Engineering Applications of Artificial Intelligence, 133, 107871. doi: 10.1016/j.engappai.2024.107871.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2026-08-23T18:44:10.566Z</dcterms:created>
  <dcterms:modified xsi:type="dcterms:W3CDTF">2026-08-23T18:44:10.582Z</dcterms:modified>
</cp:coreProperties>
</file>

<file path=docProps/custom.xml><?xml version="1.0" encoding="utf-8"?>
<Properties xmlns="http://schemas.openxmlformats.org/officeDocument/2006/custom-properties" xmlns:vt="http://schemas.openxmlformats.org/officeDocument/2006/docPropsVTypes"/>
</file>