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TECHNICAL REPORT FORMAT</w:t>
      </w:r>
    </w:p>
    <w:p>
      <w:pPr>
        <w:spacing w:after="600"/>
        <w:jc w:val="center"/>
      </w:pPr>
      <w:r>
        <w:rPr>
          <w:color w:val="595959"/>
          <w:sz w:val="26"/>
          <w:szCs w:val="26"/>
        </w:rPr>
        <w:t xml:space="preserve">A DES-ML Surrogate System for Post-Brexit Border-Control Capacity Assessment — Business Consulting Project (Extension Work)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by: Sakshi Dhamane</w:t>
      </w:r>
    </w:p>
    <w:p>
      <w:pPr>
        <w:spacing w:after="80"/>
        <w:jc w:val="center"/>
      </w:pPr>
      <w:r>
        <w:rPr>
          <w:sz w:val="22"/>
          <w:szCs w:val="22"/>
        </w:rPr>
        <w:t xml:space="preserve">MSc Business Analytics, Maynooth University</w:t>
      </w:r>
    </w:p>
    <w:p>
      <w:pPr>
        <w:spacing w:after="80"/>
        <w:jc w:val="center"/>
      </w:pPr>
      <w:r>
        <w:rPr>
          <w:sz w:val="22"/>
          <w:szCs w:val="22"/>
        </w:rPr>
        <w:t xml:space="preserve">Supervisors: Prof. Wael Rashwan, Prof. Amr Mahfouz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[Insert submission date]</w:t>
      </w:r>
    </w:p>
    <w:p>
      <w:pPr>
        <w:pBdr>
          <w:top w:val="single" w:color="1F3864" w:sz="6" w:space="8"/>
        </w:pBdr>
        <w:spacing w:after="200" w:before="800"/>
      </w:pPr>
      <w:r>
        <w:rPr>
          <w:b/>
          <w:bCs/>
          <w:color w:val="1F3864"/>
          <w:sz w:val="22"/>
          <w:szCs w:val="22"/>
        </w:rPr>
        <w:t xml:space="preserve">How to use this template</w:t>
      </w:r>
    </w:p>
    <w:p>
      <w:pPr>
        <w:spacing w:after="140"/>
      </w:pPr>
      <w:r>
        <w:rPr>
          <w:sz w:val="22"/>
          <w:szCs w:val="22"/>
        </w:rPr>
        <w:t xml:space="preserve">This is a structural format, not the finished report — every section below carries an italic guidance note describing exactly what goes there, drawn from the actual project (the 129-run NOLHC design, the 20-KPI surrogate bank, the conformal UQ baseline, and the three extension gaps: adaptive sampling, native UQ for tree ensembles, post-deployment novelty detection). Delete the guidance notes as you fill each section in.</w:t>
      </w:r>
    </w:p>
    <w:p>
      <w:pPr>
        <w:spacing w:after="140"/>
      </w:pPr>
      <w:r>
        <w:rPr>
          <w:sz w:val="22"/>
          <w:szCs w:val="22"/>
        </w:rPr>
        <w:t xml:space="preserve">One open item affects Sections 3.2–3.4 directly: whether Prof. Amr and Prof. Wael want the pre-existing Analytics Life system written up in full, cited as background only, or left out beyond what's needed for context (this was asked in a separate email and is still awaiting a reply as of this draft). Section 3 is written so it can flex either way — see the guidance note at the start of Section 3.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1.1 Business Context &amp; Problem Statement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frame the real operational problem — post-Brexit customs/SPS checks reduce RoRo port throughput and create congestion risk at Irish and GB ports; simulation alone (AnyLogic DES) is too slow to explore the full scenario space, which is why a ML surrogate layer exists. State it in business terms (capacity risk, decision latency) before any modelling language, per the BA framing: problem → stakeholders → current process → requirements → data → solution → outcomes.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1.2 Project Origin: Analytics Life vs. This BCP Extension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state plainly that the DES-ML surrogate system (“Analytics Life”) already existed — 129-run NOLHC design, 20-KPI multi-model bank, marginal conformal UQ, screening UI — before this BCP was assigned. Then state the three specific gaps Prof. Wael and Prof. Amr assigned as the extension: (1) no adaptive/active-learning sampling, (2) no native UQ for tree-ensemble models, (3) no post-deployment novelty detection. This section is where the background-vs-extension scoping decision (pending reply) actually gets applied.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1.3 Objectives and Scope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list the extension's objectives as testable statements, e.g. “propose and justify an uncertainty-quantification method for GPR-won KPIs that is locally adaptive, not just marginally calibrated”; “design a batch-sequential candidate-flagging process bounded by a realistic manual-validation budget”; “validate the extension against real, independently generated design points (Runs 130–159), not synthetic data.” Keep each objective falsifiable — something a reader could check against Section 5's results.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1.4 Report Structure Overview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one short paragraph mapping Sections 2–9 to the reader's questions (why this matters, how it works, what it produced, what's still open) — not a restatement of the table of contents.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2. Literature Review / Related Work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this is where Themes 1–8 from the SOTA review live. Keep Themes 1–5 (established DES-ML surrogate modelling, NOLH/Latin-hypercube design, per-target model selection, marginal conformal prediction) brief — a paragraph each, since they describe Analytics Life, not this extension's contribution. Give Themes 6–8 real depth, since they are the literature basis for the three gaps below.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2.1 DES-ML Surrogate Modelling and Experimental Design (Themes 1–5)</w:t>
      </w:r>
    </w:p>
    <w:p>
      <w:pPr>
        <w:spacing w:after="140"/>
      </w:pPr>
      <w:r>
        <w:rPr>
          <w:sz w:val="22"/>
          <w:szCs w:val="22"/>
        </w:rPr>
        <w:t xml:space="preserve">[Summarise the established literature behind the existing system: DES-based simulation metamodelling, NOLH/space-filling designs, per-KPI model selection via cross-validation, and split-conformal prediction. One paragraph per theme is enough here.]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2.2 Adaptive / Active-Learning Sampling for Simulation Metamodels (Theme 6)</w:t>
      </w:r>
    </w:p>
    <w:p>
      <w:pPr>
        <w:spacing w:after="140"/>
      </w:pPr>
      <w:r>
        <w:rPr>
          <w:sz w:val="22"/>
          <w:szCs w:val="22"/>
        </w:rPr>
        <w:t xml:space="preserve">[Literature justifying why a fixed 129-run design under-samples regions that matter most for decision-making, and what active-learning/adaptive-sampling strategies exist for expensive-simulation metamodels.]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2.3 Native Uncertainty Quantification for Tree Ensembles (Theme 7)</w:t>
      </w:r>
    </w:p>
    <w:p>
      <w:pPr>
        <w:spacing w:after="140"/>
      </w:pPr>
      <w:r>
        <w:rPr>
          <w:sz w:val="22"/>
          <w:szCs w:val="22"/>
        </w:rPr>
        <w:t xml:space="preserve">[Literature on UQ methods that are native to tree ensembles (e.g. quantile forests, NGBoost, jackknife+, IBUG) versus GP-specific methods — and why the marginal conformal wrapper the system already uses under-serves these models specifically.]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2.4 Post-Deployment Novelty / Drift Detection (Theme 8)</w:t>
      </w:r>
    </w:p>
    <w:p>
      <w:pPr>
        <w:spacing w:after="140"/>
      </w:pPr>
      <w:r>
        <w:rPr>
          <w:sz w:val="22"/>
          <w:szCs w:val="22"/>
        </w:rPr>
        <w:t xml:space="preserve">[Literature on novelty detection and distribution shift for deployed surrogate models — why a system trained on 129 points needs a way to flag scenarios it's being asked to predict that fall outside what it was trained on.]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3. System Overview / Methodology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Sections 3.2–3.4 describe the pre-existing Analytics Life system. If Amr/Wael say “background only,” compress these three to a combined half-page with a citation to the earlier deliverable rather than the full derivation. If they say “include everything,” expand 3.2–3.4 with the full NOLHC formula derivation and per-KPI CV table (already written up separately — see Parameter_Mapping_Verification.md and CV_Best_Models_Per_Target.md). Sections 3.5–3.7 are this project's actual contribution and should be full-depth regardless of that answer.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3.1 End-to-End Architecture</w:t>
      </w:r>
    </w:p>
    <w:p>
      <w:pPr>
        <w:spacing w:after="140"/>
      </w:pPr>
      <w:r>
        <w:rPr>
          <w:sz w:val="22"/>
          <w:szCs w:val="22"/>
        </w:rPr>
        <w:t xml:space="preserve">[Insert or describe an architecture diagram. As a minimum, walk the pipeline as an ordered flow:]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AnyLogic RoRo discrete-event simulation (ground truth, expensive to run).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129-run Nearly Orthogonal Latin Hypercube (NOLHC) experimental design over 35 input factors.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Per-KPI surrogate model bank — 20 KPIs, best model per KPI selected by cross-validation (ExtraTrees, GPR-Matérn, ElasticNet, GradientBoosting, Lasso, SVR-RBF).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Uncertainty quantification layer — baseline adaptive-coverage split-conformal, extended per Section 3.6.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Candidate flagging / trust framework — decides which scenarios the surrogate bank can answer versus which need a real AnyLogic run (Section 3.7).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Decision-maker-facing screening UI — the user requests a KPI (or none), the engine auto-selects the model and returns a value with an uncertainty band; no model selection is exposed to the user.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3.2 Experimental Design (129-run NOLHC)</w:t>
      </w:r>
    </w:p>
    <w:p>
      <w:pPr>
        <w:spacing w:after="140"/>
      </w:pPr>
      <w:r>
        <w:rPr>
          <w:sz w:val="22"/>
          <w:szCs w:val="22"/>
        </w:rPr>
        <w:t xml:space="preserve">[Summarise or fully derive, per the scoping decision above: 35 raw/derived AnyLogic input factors, the NOLH multiplier-to-raw-parameter formula chain, and the fixed-vs-varied input split.]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3.3 Model Selection Methodology</w:t>
      </w:r>
    </w:p>
    <w:p>
      <w:pPr>
        <w:spacing w:after="140"/>
      </w:pPr>
      <w:r>
        <w:rPr>
          <w:sz w:val="22"/>
          <w:szCs w:val="22"/>
        </w:rPr>
        <w:t xml:space="preserve">[Summarise or fully present the 5-fold CV results per KPI — winning model, mean/std RMSE, selected hyperparameters.]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3.4 Baseline Uncertainty Quantification (Adaptive Conformal)</w:t>
      </w:r>
    </w:p>
    <w:p>
      <w:pPr>
        <w:spacing w:after="140"/>
      </w:pPr>
      <w:r>
        <w:rPr>
          <w:sz w:val="22"/>
          <w:szCs w:val="22"/>
        </w:rPr>
        <w:t xml:space="preserve">[Describe the existing marginal split-conformal approach — adaptive coverage level by relative RMSE-to-best, quantile of absolute residuals — and name its stated limitation: a fixed per-KPI half-width that does not vary with the input.]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3.5 Extension 1 — Adaptive / Active-Learning Sampling</w:t>
      </w:r>
    </w:p>
    <w:p>
      <w:pPr>
        <w:spacing w:after="140"/>
      </w:pPr>
      <w:r>
        <w:rPr>
          <w:sz w:val="22"/>
          <w:szCs w:val="22"/>
        </w:rPr>
        <w:t xml:space="preserve">[Describe the batch-sequential candidate-proposal method, how candidates are generated, and how this differs from the fixed 129-run NOLHC design.]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3.6 Extension 2 — Native Uncertainty for Tree Ensembles</w:t>
      </w:r>
    </w:p>
    <w:p>
      <w:pPr>
        <w:spacing w:after="140"/>
      </w:pPr>
      <w:r>
        <w:rPr>
          <w:sz w:val="22"/>
          <w:szCs w:val="22"/>
        </w:rPr>
        <w:t xml:space="preserve">[Describe the GPR uncertainty-method comparison experiment (Analytic / Bayesian-grid / Ensemble-bootstrap / Normalized-conformal) and, separately, whatever native UQ approach is used for the non-GPR model families in PROVEN_6/UQ_Method_Benchmark.]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3.7 Extension 3 — Post-Deployment Novelty Detection &amp; Trust Flagging</w:t>
      </w:r>
    </w:p>
    <w:p>
      <w:pPr>
        <w:spacing w:after="140"/>
      </w:pPr>
      <w:r>
        <w:rPr>
          <w:sz w:val="22"/>
          <w:szCs w:val="22"/>
        </w:rPr>
        <w:t xml:space="preserve">[Describe the PROVEN_6 trust-score framework: per-KPI trust score vs. threshold, flagging logic, and the max_batch_size cap that bounds manual validation effort.]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4. Implementation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4.1 Technical Stack &amp; Repository Structure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name the actual stack (Python, scikit-learn, AnyLogic Cloud, Excel/openpyxl for the design sheets) and the repo layout (e.g. experimenting_ml/src, loop/des_backend) at a level a technical reviewer could navigate from.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4.2 Data Pipeline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NOLHC design generation → AnyLogic Cloud execution → result ingest → model training/refresh. Note where this is manual today (hand-typed AnyLogic fields) and where it's automated.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4.3 Key Experiments Conducted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list each experiment as one line with its purpose — e.g. “GPR UQ method comparison (gpr_uq_experiment.py) — 4 methods × 2 KPIs × 20 repeated splits, to test whether normalized conformal beats the existing marginal wrapper.” This section should read as a lab notebook index, not a re-explanation.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5. Results &amp; Analysis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5.1 Per-KPI Model Performance</w:t>
      </w:r>
    </w:p>
    <w:p>
      <w:pPr>
        <w:spacing w:after="140"/>
      </w:pPr>
      <w:r>
        <w:rPr>
          <w:sz w:val="22"/>
          <w:szCs w:val="22"/>
        </w:rPr>
        <w:t xml:space="preserve">Example table skeleton — replace with the real CV summary: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200"/>
        <w:gridCol w:w="2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CV RMSE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Std CV RMSE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TT_IB_LB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GPR_Matern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21.49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3.84</w:t>
            </w:r>
          </w:p>
        </w:tc>
      </w:tr>
      <w:tr>
        <w:tc>
          <w:tcPr>
            <w:tcW w:type="dxa" w:w="32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WT_OB_LB</w:t>
            </w:r>
          </w:p>
        </w:tc>
        <w:tc>
          <w:tcPr>
            <w:tcW w:type="dxa" w:w="32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GPR_Matern</w:t>
            </w:r>
          </w:p>
        </w:tc>
        <w:tc>
          <w:tcPr>
            <w:tcW w:type="dxa" w:w="22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22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3864"/>
        </w:rPr>
        <w:t xml:space="preserve">5.2 Uncertainty Quantification — Method Comparison Results</w:t>
      </w:r>
    </w:p>
    <w:p>
      <w:pPr>
        <w:spacing w:after="140"/>
      </w:pPr>
      <w:r>
        <w:rPr>
          <w:sz w:val="22"/>
          <w:szCs w:val="22"/>
        </w:rPr>
        <w:t xml:space="preserve">Example table skeleton — replace with the real coverage/width results: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000"/>
        <w:gridCol w:w="2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coverage (target 90%)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interval width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TT_IB_LB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91.3%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70.6</w:t>
            </w:r>
          </w:p>
        </w:tc>
      </w:tr>
      <w:tr>
        <w:tc>
          <w:tcPr>
            <w:tcW w:type="dxa" w:w="24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TT_IB_LB</w:t>
            </w:r>
          </w:p>
        </w:tc>
        <w:tc>
          <w:tcPr>
            <w:tcW w:type="dxa" w:w="32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Conformal (normalized)</w:t>
            </w:r>
          </w:p>
        </w:tc>
        <w:tc>
          <w:tcPr>
            <w:tcW w:type="dxa" w:w="30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91.9%</w:t>
            </w:r>
          </w:p>
        </w:tc>
        <w:tc>
          <w:tcPr>
            <w:tcW w:type="dxa" w:w="22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80.1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F3864"/>
        </w:rPr>
        <w:t xml:space="preserve">5.3 Trust / Flagging Framework Results</w:t>
      </w:r>
    </w:p>
    <w:p>
      <w:pPr>
        <w:spacing w:after="140"/>
      </w:pPr>
      <w:r>
        <w:rPr>
          <w:sz w:val="22"/>
          <w:szCs w:val="22"/>
        </w:rPr>
        <w:t xml:space="preserve">[Report the PROVEN_6 outcomes: candidates evaluated, flagged, sent vs. capped-out, and the dominant-KPI finding (e.g. one KPI's local-adaptivity driving most flags) with the exact counts.]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5.4 Manual Validation — Runs 130–159</w:t>
      </w:r>
    </w:p>
    <w:p>
      <w:pPr>
        <w:spacing w:after="140"/>
      </w:pPr>
      <w:r>
        <w:rPr>
          <w:sz w:val="22"/>
          <w:szCs w:val="22"/>
        </w:rPr>
        <w:t xml:space="preserve">[Report the 30 new NOLH-continuation scenarios: generation method (Latin Hypercube, verified non-duplicate), AnyLogic Cloud execution status, and — once available — the comparison between surrogate predictions and real simulated outcomes for these runs.]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6. Discussion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6.1 Strengths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be specific and evidence-based — e.g. the normalized-conformal method is the only one tested that combines local adaptivity with a distribution-free guarantee; the trust framework caps manual-validation effort at a realistic budget.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6.2 Limitations &amp; Caveats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state these plainly, don't bury them — small sample size (129 points, ~103 in a single CV fold) means wide Wilson confidence intervals on coverage numbers; the Bayesian-grid method is a lightweight stand-in for true HMC/VI, not the real thing; the replication count (5 vs. 1 per point) and the 122-fixed-input count are still unconfirmed by the mentors as of this draft; several KPIs (the 4 non-agri wait-time KPIs, TT_OB_DR/TT_IB_DR) only have a probable, not exact, raw-AnyLogic-field mapping.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6.3 Business Implications for the Decision-Maker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tie back to the confirmed UX flow from the 2 Sept meeting — the decision-maker never selects a model; they ask for a KPI (or nothing, since all 20 predict automatically) and get a value with an uncertainty band, with the trust framework silently deciding when a real AnyLogic run is warranted instead.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7. Risks, Assumptions &amp; Open Items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use a simple risk register format — Risk | Likelihood | Impact | Mitigation/Owner. Include the genuinely open items surfaced during this project: the Completed_runs2-vs-Trust-Report ID mismatch (5 of 10 overlap), the unconfirmed 55–65% uncertainty-reduction figure from the 2 Sept meeting, and the unresolved economic-sector case-study framing question.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32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/ open item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/ owner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Completed_runs2 IDs don't match Trust Report's “sent” list (5/10 overlap)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Reconcile which batch is authoritative before citing either in the report — Sakshi</w:t>
            </w:r>
          </w:p>
        </w:tc>
      </w:tr>
      <w:tr>
        <w:tc>
          <w:tcPr>
            <w:tcW w:type="dxa" w:w="34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55–65% uncertainty-reduction figure treated as a target without confirmation</w:t>
            </w:r>
          </w:p>
        </w:tc>
        <w:tc>
          <w:tcPr>
            <w:tcW w:type="dxa" w:w="16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with Wael/Amr before stating it as a success criterion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Economic-sector case-study scoping undecided (transcript gap)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the missing meeting segment or ask directly before finalising report structure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F3864"/>
        </w:rPr>
        <w:t xml:space="preserve">8. Recommendations &amp; Future Work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recommend the normalized-conformal method for GPR KPIs with the stated trade-off (wider, less stable calibration, but locally adaptive and distribution-free); recommend extending the UQ benchmark beyond the current 6 KPIs; recommend formalising the trust-score threshold methodology; flag the fixed-input reconciliation (146 raw vs. 35 design factors vs. 122 claimed) as a prerequisite for the novelty scorer's out-of-scope check.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9. Conclusion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one page maximum — restate the three gaps, what was actually delivered against each, and what remains open. Avoid re-summarising every number; that's what Section 5 is for.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References</w:t>
      </w:r>
    </w:p>
    <w:p>
      <w:pPr>
        <w:spacing w:after="200" w:before="60"/>
      </w:pPr>
      <w:r>
        <w:rPr>
          <w:i/>
          <w:iCs/>
          <w:color w:val="595959"/>
          <w:sz w:val="20"/>
          <w:szCs w:val="20"/>
        </w:rPr>
        <w:t xml:space="preserve">Guidance: full citation list in your program's required style (check whether Maynooth specifies Harvard or APA for the BCP) — include every paper cited in Section 2, plus the two earlier internal deliverables (Parameter_Mapping_Verification.md, GPR_Uncertainty_Method_Comparison.md) if your program allows citing your own prior work products.</w:t>
      </w:r>
    </w:p>
    <w:p>
      <w:pPr>
        <w:pStyle w:val="Heading1"/>
        <w:spacing w:after="120" w:before="400"/>
      </w:pPr>
      <w:r>
        <w:rPr>
          <w:b/>
          <w:bCs/>
          <w:color w:val="1F3864"/>
        </w:rPr>
        <w:t xml:space="preserve">Appendices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Appendix A — Full CV Results Table (all 20 KPIs)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Appendix B — Full UQ Method Comparison Results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Appendix C — Trust Framework: Candidate Flagging Decisions (all 25)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Appendix D — Code Listings (key scripts only, not full repo)</w:t>
      </w:r>
    </w:p>
    <w:p>
      <w:pPr>
        <w:pStyle w:val="Heading2"/>
        <w:spacing w:after="100" w:before="260"/>
      </w:pPr>
      <w:r>
        <w:rPr>
          <w:b/>
          <w:bCs/>
          <w:color w:val="1F3864"/>
        </w:rPr>
        <w:t xml:space="preserve">Appendix E — Meeting Records Referenced in This Report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Post-Brexit DES-ML Surrogate — Technical Report Format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2026-09-05T10:35:55.579Z</dcterms:created>
  <dcterms:modified xsi:type="dcterms:W3CDTF">2026-09-05T10:35:55.591Z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