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Uncertainty-Aware, Batch-Sequential Retraining Loop — Spec</w:t>
      </w:r>
    </w:p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5e86ff6f43bf711cd2ca5992254ac144d8b665f"/>
    <w:p>
      <w:pPr>
        <w:pStyle w:val="Heading1"/>
      </w:pPr>
      <w:r>
        <w:t xml:space="preserve">Uncertainty-Aware, Batch-Sequential Retraining Loop — Spec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(draft for confirmation)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Nila (software architecture, UI, systems integration) · Sakshi (SOTA review, statistical grounding)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awaiting sign-off before implementation starts</w:t>
      </w:r>
      <w:r>
        <w:br/>
      </w:r>
      <w:r>
        <w:rPr>
          <w:b/>
          <w:bCs/>
        </w:rPr>
        <w:t xml:space="preserve">Builds on:</w:t>
      </w:r>
      <w:r>
        <w:t xml:space="preserve"> </w:t>
      </w:r>
      <w:r>
        <w:t xml:space="preserve">the production surrogate's technical specification, the research pipeline specification, the project's due-diligence report (Appendix A, Objective 4), the team's existing literature review draft ("the Analytics Life work"), and the paper draft's Section 2.3 literature review (five themes, existing UQ baseline)</w:t>
      </w:r>
    </w:p>
    <w:p>
      <w:r>
        <w:pict>
          <v:rect style="width:0;height:1.5pt" o:hralign="center" o:hrstd="t" o:hr="t"/>
        </w:pict>
      </w:r>
    </w:p>
    <w:bookmarkStart w:id="9" w:name="X70270f8c8bff3e7e5e1cebdba6632a3a65790f6"/>
    <w:p>
      <w:pPr>
        <w:pStyle w:val="Heading2"/>
      </w:pPr>
      <w:r>
        <w:t xml:space="preserve">1. Problem statement (mentor framing, unchanged)</w:t>
      </w:r>
    </w:p>
    <w:p>
      <w:pPr>
        <w:pStyle w:val="FirstParagraph"/>
      </w:pPr>
      <w:r>
        <w:t xml:space="preserve">We trained a random forest / gradient boosting metamodel on 129 DES runs from a Latin Hypercube sample. The ensemble itself is assumed to perform well — that is not in question. Three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adaptive sampling</w:t>
      </w:r>
      <w:r>
        <w:t xml:space="preserve"> </w:t>
      </w:r>
      <w:r>
        <w:t xml:space="preserve">— the 129 points are fixed and don't target where the model is uncertain.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uncertainty quantification</w:t>
      </w:r>
      <w:r>
        <w:t xml:space="preserve"> </w:t>
      </w:r>
      <w:r>
        <w:t xml:space="preserve">— tree ensembles give no native predictive variance, so the system can't say "trust this" or "don't."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handling of new scenarios post-deployment</w:t>
      </w:r>
      <w:r>
        <w:t xml:space="preserve"> </w:t>
      </w:r>
      <w:r>
        <w:t xml:space="preserve">— nothing detects when an unsolicited input (a live UI/API request) is genuinely outside what the model has seen.</w:t>
      </w:r>
    </w:p>
    <w:p>
      <w:pPr>
        <w:pStyle w:val="FirstParagraph"/>
      </w:pPr>
      <w:r>
        <w:rPr>
          <w:b/>
          <w:bCs/>
        </w:rPr>
        <w:t xml:space="preserve">The fix:</w:t>
      </w:r>
      <w:r>
        <w:t xml:space="preserve"> </w:t>
      </w:r>
      <w:r>
        <w:t xml:space="preserve">a batch-sequential, uncertainty-aware loop. Flag uncertain points — whether</w:t>
      </w:r>
      <w:r>
        <w:t xml:space="preserve"> </w:t>
      </w:r>
      <w:r>
        <w:rPr>
          <w:i/>
          <w:iCs/>
        </w:rPr>
        <w:t xml:space="preserve">proposed</w:t>
      </w:r>
      <w:r>
        <w:t xml:space="preserve"> </w:t>
      </w:r>
      <w:r>
        <w:t xml:space="preserve">(candidate design points we'd like to add) or</w:t>
      </w:r>
      <w:r>
        <w:t xml:space="preserve"> </w:t>
      </w:r>
      <w:r>
        <w:rPr>
          <w:i/>
          <w:iCs/>
        </w:rPr>
        <w:t xml:space="preserve">newly arrived</w:t>
      </w:r>
      <w:r>
        <w:t xml:space="preserve"> </w:t>
      </w:r>
      <w:r>
        <w:t xml:space="preserve">(live scenario inputs) — batch them, run DES, retrain, recalibrate.</w:t>
      </w:r>
      <w:r>
        <w:t xml:space="preserve"> </w:t>
      </w:r>
      <w:r>
        <w:rPr>
          <w:b/>
          <w:bCs/>
        </w:rPr>
        <w:t xml:space="preserve">One trust criterion, shared across both cases.</w:t>
      </w:r>
    </w:p>
    <w:p>
      <w:r>
        <w:pict>
          <v:rect style="width:0;height:1.5pt" o:hralign="center" o:hrstd="t" o:hr="t"/>
        </w:pict>
      </w:r>
    </w:p>
    <w:bookmarkEnd w:id="9"/>
    <w:bookmarkStart w:id="10" w:name="X445f1d13614615bf673656ea42facf63bca360a"/>
    <w:p>
      <w:pPr>
        <w:pStyle w:val="Heading2"/>
      </w:pPr>
      <w:r>
        <w:t xml:space="preserve">2. Current-state audit (why this spec is needed)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exists today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nolhc_ml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experimenting_ml</w:t>
            </w:r>
            <w:r>
              <w:t xml:space="preserve">: 19-candidate benchmark + stacking, per-KPI winner, registered in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cv_results.json</w:t>
            </w:r>
          </w:p>
        </w:tc>
        <w:tc>
          <w:tcPr/>
          <w:p>
            <w:pPr>
              <w:pStyle w:val="Compact"/>
            </w:pPr>
            <w:r>
              <w:t xml:space="preserve">None — out of scope, assumed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experimenting_ml/src/conformal_predict.py</w:t>
            </w:r>
            <w:r>
              <w:t xml:space="preserve">: split-conformal intervals with adaptive coverage (90/95/99% by relative test RMSE). Computed offline into the Excel workbook (Step 9),</w:t>
            </w:r>
            <w:r>
              <w:t xml:space="preserve"> </w:t>
            </w:r>
            <w:r>
              <w:rPr>
                <w:b/>
                <w:bCs/>
              </w:rPr>
              <w:t xml:space="preserve">and also served live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experimenting_ml/run_ui_inference_api.py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/infer</w:t>
            </w:r>
            <w:r>
              <w:t xml:space="preserve"> </w:t>
            </w:r>
            <w:r>
              <w:t xml:space="preserve">endpoint (</w:t>
            </w:r>
            <w:r>
              <w:rPr>
                <w:rStyle w:val="VerbatimChar"/>
              </w:rPr>
              <w:t xml:space="preserve">interval.lower/upper/width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empirical_coverage</w:t>
            </w:r>
            <w:r>
              <w:t xml:space="preserve"> </w:t>
            </w:r>
            <w:r>
              <w:t xml:space="preserve">are all in the JSON response). Separately,</w:t>
            </w:r>
            <w:r>
              <w:t xml:space="preserve"> </w:t>
            </w:r>
            <w:r>
              <w:rPr>
                <w:rStyle w:val="VerbatimChar"/>
              </w:rPr>
              <w:t xml:space="preserve">nolhc_ml/src/evaluate.py</w:t>
            </w:r>
            <w:r>
              <w:t xml:space="preserve"> </w:t>
            </w:r>
            <w:r>
              <w:t xml:space="preserve">already computes GPR-native posterior std (</w:t>
            </w:r>
            <w:r>
              <w:rPr>
                <w:rStyle w:val="VerbatimChar"/>
              </w:rPr>
              <w:t xml:space="preserve">return_std=True</w:t>
            </w:r>
            <w:r>
              <w:t xml:space="preserve">) as a</w:t>
            </w:r>
            <w:r>
              <w:t xml:space="preserve"> </w:t>
            </w:r>
            <w:r>
              <w:rPr>
                <w:rStyle w:val="VerbatimChar"/>
              </w:rPr>
              <w:t xml:space="preserve">gpr_native</w:t>
            </w:r>
            <w:r>
              <w:t xml:space="preserve"> </w:t>
            </w:r>
            <w:r>
              <w:t xml:space="preserve">block, but only as an offline evaluation artifact.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computed intervals dead-end before reaching the user.</w:t>
            </w:r>
            <w:r>
              <w:t xml:space="preserve"> </w:t>
            </w:r>
            <w:r>
              <w:t xml:space="preserve">Verified by grep: neither frontend (</w:t>
            </w:r>
            <w:r>
              <w:rPr>
                <w:rStyle w:val="VerbatimChar"/>
              </w:rPr>
              <w:t xml:space="preserve">experimenting_ml/UI/app.js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components.js</w:t>
            </w:r>
            <w:r>
              <w:t xml:space="preserve">, nor</w:t>
            </w:r>
            <w:r>
              <w:t xml:space="preserve"> </w:t>
            </w:r>
            <w:r>
              <w:rPr>
                <w:rStyle w:val="VerbatimChar"/>
              </w:rPr>
              <w:t xml:space="preserve">nolhc_ml/ui</w:t>
            </w:r>
            <w:r>
              <w:t xml:space="preserve">) reads</w:t>
            </w:r>
            <w:r>
              <w:t xml:space="preserve"> </w:t>
            </w:r>
            <w:r>
              <w:rPr>
                <w:rStyle w:val="VerbatimChar"/>
              </w:rPr>
              <w:t xml:space="preserve">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coverage_level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empirical_coverage</w:t>
            </w:r>
            <w:r>
              <w:t xml:space="preserve"> </w:t>
            </w:r>
            <w:r>
              <w:t xml:space="preserve">at all —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even hardcodes</w:t>
            </w:r>
            <w:r>
              <w:t xml:space="preserve"> </w:t>
            </w:r>
            <w:r>
              <w:rPr>
                <w:rStyle w:val="VerbatimChar"/>
              </w:rPr>
              <w:t xml:space="preserve">r2: null</w:t>
            </w:r>
            <w:r>
              <w:t xml:space="preserve"> </w:t>
            </w:r>
            <w:r>
              <w:t xml:space="preserve">on its prediction rows. The only reliability signal either UI actually shows is a</w:t>
            </w:r>
            <w:r>
              <w:t xml:space="preserve"> </w:t>
            </w:r>
            <w:r>
              <w:rPr>
                <w:b/>
                <w:bCs/>
              </w:rPr>
              <w:t xml:space="preserve">static, global, training-time R² badge</w:t>
            </w:r>
            <w:r>
              <w:t xml:space="preserve"> </w:t>
            </w:r>
            <w:r>
              <w:t xml:space="preserve">(nolhc_ml: avg R² across all 20 KPIs, thresholded high/good/low; a per-KPI R² number; a "⚠ low_confidence" flag below 0.75) — not an input-dependent, per-scenario uncertainty band. Not model-native for trees. Not recalibrated after new data. GPR-native std exists but is unwired to anything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sampling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nolhc_ml</w:t>
            </w:r>
            <w:r>
              <w:t xml:space="preserve"> </w:t>
            </w:r>
            <w:r>
              <w:t xml:space="preserve">spec §12 stubs a</w:t>
            </w:r>
            <w:r>
              <w:t xml:space="preserve"> </w:t>
            </w:r>
            <w:r>
              <w:rPr>
                <w:rStyle w:val="VerbatimChar"/>
              </w:rPr>
              <w:t xml:space="preserve">--append</w:t>
            </w:r>
            <w:r>
              <w:t xml:space="preserve"> </w:t>
            </w:r>
            <w:r>
              <w:t xml:space="preserve">retrain flag; never implemented</w:t>
            </w:r>
          </w:p>
        </w:tc>
        <w:tc>
          <w:tcPr/>
          <w:p>
            <w:pPr>
              <w:pStyle w:val="Compact"/>
            </w:pPr>
            <w:r>
              <w:t xml:space="preserve">No mechanism decides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new points are worth a DES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/ drift</w:t>
            </w:r>
          </w:p>
        </w:tc>
        <w:tc>
          <w:tcPr/>
          <w:p>
            <w:pPr>
              <w:pStyle w:val="Compact"/>
            </w:pPr>
            <w:r>
              <w:t xml:space="preserve">None. Due-diligence report names extrapolation as a "known risk"; UI governance clips slider ranges</w:t>
            </w:r>
          </w:p>
        </w:tc>
        <w:tc>
          <w:tcPr/>
          <w:p>
            <w:pPr>
              <w:pStyle w:val="Compact"/>
            </w:pPr>
            <w:r>
              <w:t xml:space="preserve">No statistical OOD test against the 35-dim training hull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 access</w:t>
            </w:r>
          </w:p>
        </w:tc>
        <w:tc>
          <w:tcPr/>
          <w:p>
            <w:pPr>
              <w:pStyle w:val="Compact"/>
            </w:pPr>
            <w:r>
              <w:t xml:space="preserve">AnyLogic model exists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headlessly callable. Someone manually keys candidate rows into AnyLogic, runs it, and exports results to an Excel workbook (</w:t>
            </w:r>
            <w:r>
              <w:rPr>
                <w:rStyle w:val="VerbatimChar"/>
              </w:rPr>
              <w:t xml:space="preserve">ExpValues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SimResults</w:t>
            </w:r>
            <w:r>
              <w:t xml:space="preserve"> </w:t>
            </w:r>
            <w:r>
              <w:t xml:space="preserve">layout) — the same process that produced the original 129 runs</w:t>
            </w:r>
          </w:p>
        </w:tc>
        <w:tc>
          <w:tcPr/>
          <w:p>
            <w:pPr>
              <w:pStyle w:val="Compact"/>
            </w:pPr>
            <w:r>
              <w:t xml:space="preserve">Any loop design must treat "run DES" as a slow, human-mediated batch step, not an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Dimensionality</w:t>
            </w:r>
          </w:p>
        </w:tc>
        <w:tc>
          <w:tcPr/>
          <w:p>
            <w:pPr>
              <w:pStyle w:val="Compact"/>
            </w:pPr>
            <w:r>
              <w:t xml:space="preserve">AnyLogic's full model exposes</w:t>
            </w:r>
            <w:r>
              <w:t xml:space="preserve"> </w:t>
            </w:r>
            <w:r>
              <w:rPr>
                <w:b/>
                <w:bCs/>
              </w:rPr>
              <w:t xml:space="preserve">157 inputs / 175 outputs</w:t>
            </w:r>
            <w:r>
              <w:t xml:space="preserve">; the NOLHC design experiment fixes it down to</w:t>
            </w:r>
            <w:r>
              <w:t xml:space="preserve"> </w:t>
            </w:r>
            <w:r>
              <w:rPr>
                <w:b/>
                <w:bCs/>
              </w:rPr>
              <w:t xml:space="preserve">35 inputs / 20 outputs</w:t>
            </w:r>
            <w:r>
              <w:t xml:space="preserve"> </w:t>
            </w:r>
            <w:r>
              <w:t xml:space="preserve">for all 129 runs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assumption, needs mentor confirmation:</w:t>
            </w:r>
            <w:r>
              <w:t xml:space="preserve"> </w:t>
            </w:r>
            <w:r>
              <w:t xml:space="preserve">the other 122 inputs are held at a fixed configuration across the whole design. Novelty/OOD detection in this spec operates only in the 35-dim NOLHC hull on that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literature scaffold</w:t>
            </w:r>
          </w:p>
        </w:tc>
        <w:tc>
          <w:tcPr/>
          <w:p>
            <w:pPr>
              <w:pStyle w:val="Compact"/>
            </w:pPr>
            <w:r>
              <w:t xml:space="preserve">Two sources, no citation overlap between them, same five themes: (1) the team's existing literature review draft ("the Analytics Life work") and (2) the paper draft's Section 2.3 literature review (more recent citation set, 2016-2026). Both cover: sim→ML coupling motivation, NOLHC/orthogonal-LHS design justification, "no single emulator/family wins" → per-KPI benchmarking + stacking-as-challenger, split-conformal + GPR-native variance as UQ</w:t>
            </w:r>
          </w:p>
        </w:tc>
        <w:tc>
          <w:tcPr/>
          <w:p>
            <w:pPr>
              <w:pStyle w:val="Compact"/>
            </w:pPr>
            <w:r>
              <w:t xml:space="preserve">Neither covers: RF jackknife/QRF/NGBoost, bootstrap/deep ensembles, batch/active learning for expensive sims, drift/novelty detection, DES replication noise — this is Task 1's actual whitespace, confirmed against both 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3fe64c7d7960c22e6d7da8e94e42f467bff3c7"/>
    <w:p>
      <w:pPr>
        <w:pStyle w:val="Heading2"/>
      </w:pPr>
      <w:r>
        <w:t xml:space="preserve">3. Goals / non-goals for this phase</w:t>
      </w:r>
    </w:p>
    <w:p>
      <w:pPr>
        <w:pStyle w:val="FirstParagraph"/>
      </w:pPr>
      <w:r>
        <w:rPr>
          <w:b/>
          <w:bCs/>
        </w:rPr>
        <w:t xml:space="preserve">In scope now:</w:t>
      </w:r>
    </w:p>
    <w:p>
      <w:pPr>
        <w:pStyle w:val="Compact"/>
        <w:numPr>
          <w:ilvl w:val="0"/>
          <w:numId w:val="1002"/>
        </w:numPr>
      </w:pPr>
      <w:r>
        <w:t xml:space="preserve">Task 1: a literature review that</w:t>
      </w:r>
      <w:r>
        <w:t xml:space="preserve"> </w:t>
      </w:r>
      <w:r>
        <w:rPr>
          <w:i/>
          <w:iCs/>
        </w:rPr>
        <w:t xml:space="preserve">extends</w:t>
      </w:r>
      <w:r>
        <w:t xml:space="preserve"> </w:t>
      </w:r>
      <w:r>
        <w:t xml:space="preserve">the existing scaffold, not restates it.</w:t>
      </w:r>
    </w:p>
    <w:p>
      <w:pPr>
        <w:pStyle w:val="Compact"/>
        <w:numPr>
          <w:ilvl w:val="0"/>
          <w:numId w:val="1002"/>
        </w:numPr>
      </w:pPr>
      <w:r>
        <w:t xml:space="preserve">Task 2: a first, testable implementation of the loop against a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DES stand-in — RF/GBM UQ estimators, a synthetic benchmark, and a v0 orchestration of propose → batch → simulate → retrain → recalibrate.</w:t>
      </w:r>
    </w:p>
    <w:p>
      <w:pPr>
        <w:pStyle w:val="FirstParagraph"/>
      </w:pPr>
      <w:r>
        <w:rPr>
          <w:b/>
          <w:bCs/>
        </w:rPr>
        <w:t xml:space="preserve">Explicitly out of scope for this phase:</w:t>
      </w:r>
    </w:p>
    <w:p>
      <w:pPr>
        <w:pStyle w:val="Compact"/>
        <w:numPr>
          <w:ilvl w:val="0"/>
          <w:numId w:val="1003"/>
        </w:numPr>
      </w:pPr>
      <w:r>
        <w:t xml:space="preserve">Wiring the loop to the real, manual AnyLogic process (design the interface so it's swappable later; don't build the manual worklist UX yet).</w:t>
      </w:r>
    </w:p>
    <w:p>
      <w:pPr>
        <w:pStyle w:val="Compact"/>
        <w:numPr>
          <w:ilvl w:val="0"/>
          <w:numId w:val="1003"/>
        </w:numPr>
      </w:pPr>
      <w:r>
        <w:t xml:space="preserve">Promoting anything into</w:t>
      </w:r>
      <w:r>
        <w:t xml:space="preserve"> </w:t>
      </w:r>
      <w:r>
        <w:rPr>
          <w:rStyle w:val="VerbatimChar"/>
        </w:rPr>
        <w:t xml:space="preserve">nolhc_ml</w:t>
      </w:r>
      <w:r>
        <w:t xml:space="preserve"> </w:t>
      </w:r>
      <w:r>
        <w:t xml:space="preserve">production — Task 2 lives in</w:t>
      </w:r>
      <w:r>
        <w:t xml:space="preserve"> </w:t>
      </w:r>
      <w:r>
        <w:rPr>
          <w:rStyle w:val="VerbatimChar"/>
        </w:rPr>
        <w:t xml:space="preserve">experimenting_ml</w:t>
      </w:r>
      <w:r>
        <w:t xml:space="preserve"> </w:t>
      </w:r>
      <w:r>
        <w:t xml:space="preserve">as an exploration; promotion is a later decision.</w:t>
      </w:r>
    </w:p>
    <w:p>
      <w:pPr>
        <w:pStyle w:val="Compact"/>
        <w:numPr>
          <w:ilvl w:val="0"/>
          <w:numId w:val="1003"/>
        </w:numPr>
      </w:pPr>
      <w:r>
        <w:t xml:space="preserve">Resolving the 157/175 → 35/20 fixed-parameter assumption with the simulation partner (flagged as an open question, not blocking Task 2 since the synthetic benchmark only needs the 35-dim space).</w:t>
      </w:r>
    </w:p>
    <w:p>
      <w:r>
        <w:pict>
          <v:rect style="width:0;height:1.5pt" o:hralign="center" o:hrstd="t" o:hr="t"/>
        </w:pict>
      </w:r>
    </w:p>
    <w:bookmarkEnd w:id="11"/>
    <w:bookmarkStart w:id="15" w:name="Xa196cb4dd1fb9cacd535d4980e1582aed88fffa"/>
    <w:p>
      <w:pPr>
        <w:pStyle w:val="Heading2"/>
      </w:pPr>
      <w:r>
        <w:t xml:space="preserve">4. Task 1 — SOTA review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Sakshi (lead) — Nila reviews for fit against the existing codebase before it's finalised.</w:t>
      </w:r>
      <w:r>
        <w:t xml:space="preserve"> </w:t>
      </w:r>
      <w:r>
        <w:rPr>
          <w:b/>
          <w:bCs/>
        </w:rPr>
        <w:t xml:space="preserve">Timebox:</w:t>
      </w:r>
      <w:r>
        <w:t xml:space="preserve"> </w:t>
      </w:r>
      <w:r>
        <w:t xml:space="preserve">2 days.</w:t>
      </w:r>
      <w:r>
        <w:t xml:space="preserve"> </w:t>
      </w:r>
      <w:r>
        <w:t xml:space="preserve">Deliverable: three new theme paragraphs (Themes 6-8) extending the paper draft's existing Section 2.3 literature review, plus a half-to-one-page gist (§4.2 below). Themes 6-8 were drafted and citation-checked as of 23 Aug 2026; the gist is still outstanding.</w:t>
      </w:r>
    </w:p>
    <w:bookmarkStart w:id="12" w:name="Xa50623d116dd6d86b28f602d385d2aed7511489"/>
    <w:p>
      <w:pPr>
        <w:pStyle w:val="Heading3"/>
      </w:pPr>
      <w:r>
        <w:t xml:space="preserve">4.1 Structure (one section per theme, same order as the brief)</w:t>
      </w:r>
    </w:p>
    <w:p>
      <w:pPr>
        <w:pStyle w:val="FirstParagraph"/>
      </w:pPr>
      <w:r>
        <w:t xml:space="preserve">For each theme: 3–5 key papers (mix of foundational + 2023–2025), what each solves</w:t>
      </w:r>
      <w:r>
        <w:t xml:space="preserve"> </w:t>
      </w:r>
      <w:r>
        <w:rPr>
          <w:b/>
          <w:bCs/>
        </w:rPr>
        <w:t xml:space="preserve">for this engine specifically</w:t>
      </w:r>
      <w:r>
        <w:t xml:space="preserve"> </w:t>
      </w:r>
      <w:r>
        <w:t xml:space="preserve">(not generically), and an explicit "what combination doesn't exist yet" 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UQ for tree ensembles</w:t>
      </w:r>
      <w:r>
        <w:t xml:space="preserve"> </w:t>
      </w:r>
      <w:r>
        <w:t xml:space="preserve">— RF jackknife, quantile regression forests, probabilistic GBM / NGBoost. Frame against the fact that RF/ExtraTrees/GBM/XGBoost/CatBoost are already registered winners or strong candidates for most of the 20 KPIs (see</w:t>
      </w:r>
      <w:r>
        <w:t xml:space="preserve"> </w:t>
      </w:r>
      <w:r>
        <w:rPr>
          <w:rStyle w:val="VerbatimChar"/>
        </w:rPr>
        <w:t xml:space="preserve">benchmark_{slug}.json</w:t>
      </w:r>
      <w:r>
        <w:t xml:space="preserve">) — these methods are directly pluggable, not hypothetical.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Ensemble-based UQ</w:t>
      </w:r>
      <w:r>
        <w:t xml:space="preserve"> </w:t>
      </w:r>
      <w:r>
        <w:t xml:space="preserve">— bootstrap ensembles, deep ensembles. Note the small-n angle: at 129 rows, bootstrap resampling of the training pool is cheap and gives a spread estimate across the models we already benchmark.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Conformal prediction</w:t>
      </w:r>
      <w:r>
        <w:t xml:space="preserve"> </w:t>
      </w:r>
      <w:r>
        <w:t xml:space="preserve">— go beyond the split-conformal we already have. Look specifically at jackknife+/CV+ conformal (less wasteful of the small calibration set than a fixed split) and Mondrian/normalized variants for heteroscedastic KPIs (wait-time hours vs. utilisation fractions scale very differently).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Batch/active learning for expensive simulations</w:t>
      </w:r>
      <w:r>
        <w:t xml:space="preserve"> </w:t>
      </w:r>
      <w:r>
        <w:t xml:space="preserve">— the genuinely new piece. Diversity-aware batch selection (greedy max-min, DPP-style) over the 35-dim input space, not just top-K uncertain points (which cluster and waste DES runs).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 drift / novelty detection</w:t>
      </w:r>
      <w:r>
        <w:t xml:space="preserve"> </w:t>
      </w:r>
      <w:r>
        <w:t xml:space="preserve">— since this isn't a streaming setting, frame as novelty detection against the NOLHC design hull at d=35 (Mahalanobis distance, one-class SVM, isolation forest), with an explicit note on curse-of-dimensionality risk at n=129.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 replication noise alongside ML uncertainty</w:t>
      </w:r>
      <w:r>
        <w:t xml:space="preserve"> </w:t>
      </w:r>
      <w:r>
        <w:t xml:space="preserve">— distinguishing "the metamodel is uncertain here" from "this input point itself has high simulation variance" (common random numbers, batch means). Currently absent from every doc in this repo; matters directly because AnyLogic is stochastic and re-querying a noisy-but-understood point wastes a manual DES run.</w:t>
      </w:r>
    </w:p>
    <w:bookmarkEnd w:id="12"/>
    <w:bookmarkStart w:id="13" w:name="X710878c0098db078900ac82f90b97837bdaa47e"/>
    <w:p>
      <w:pPr>
        <w:pStyle w:val="Heading3"/>
      </w:pPr>
      <w:r>
        <w:t xml:space="preserve">4.2 The gist</w:t>
      </w:r>
    </w:p>
    <w:p>
      <w:pPr>
        <w:pStyle w:val="FirstParagraph"/>
      </w:pPr>
      <w:r>
        <w:t xml:space="preserve">Half-to-one page. Explicit contribution framing:</w:t>
      </w:r>
      <w:r>
        <w:t xml:space="preserve"> </w:t>
      </w:r>
      <w:r>
        <w:rPr>
          <w:b/>
          <w:bCs/>
        </w:rPr>
        <w:t xml:space="preserve">one trust score, computed once, that drives both proactive design-of-experiments expansion and reactive live-input vetting</w:t>
      </w:r>
      <w:r>
        <w:t xml:space="preserve"> </w:t>
      </w:r>
      <w:r>
        <w:t xml:space="preserve">— nobody in the reviewed literature combines active learning + tree-ensemble UQ + novelty detection under a single shared criterion applied to both a design-time and a deployment-time trigger. This lines up with Objective 4 already sitting in the due-diligence report's Appendix A, so the gist should cross-reference it.</w:t>
      </w:r>
    </w:p>
    <w:bookmarkEnd w:id="13"/>
    <w:bookmarkStart w:id="14" w:name="X6a3d73a6271a92482886357d801411916a210f6"/>
    <w:p>
      <w:pPr>
        <w:pStyle w:val="Heading3"/>
      </w:pPr>
      <w:r>
        <w:t xml:space="preserve">4.3 Explicit instruction</w:t>
      </w:r>
    </w:p>
    <w:p>
      <w:pPr>
        <w:pStyle w:val="FirstParagraph"/>
      </w:pPr>
      <w:r>
        <w:t xml:space="preserve">Must cite and build on both the team's existing literature review draft and the paper draft's Section 2.3 literature review, rather than re-deriving the sim-to-ML / NOLHC-design / stacking / conformal material either already covers. New content only.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eb25b46f3f8b00ba959a0e850863206232dd2f4"/>
    <w:p>
      <w:pPr>
        <w:pStyle w:val="Heading2"/>
      </w:pPr>
      <w:r>
        <w:t xml:space="preserve">5. Task 2 — Implementation exploration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Nila (lead) — scaffolding and loop orchestration can start in parallel with Task 1; final choice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UQ estimator per model family is locked once Sakshi's review lands. Sakshi contributes the synthetic benchmark's statistical grounding (what noise model / ground-truth surface is defensible) alongside the review.</w:t>
      </w:r>
      <w:r>
        <w:t xml:space="preserve"> </w:t>
      </w:r>
      <w:r>
        <w:rPr>
          <w:b/>
          <w:bCs/>
        </w:rPr>
        <w:t xml:space="preserve">Starts:</w:t>
      </w:r>
      <w:r>
        <w:t xml:space="preserve"> </w:t>
      </w:r>
      <w:r>
        <w:t xml:space="preserve">once Task 1 review lands (per mentor instruction) — scaffolding/interfaces can be stood up earlier so nothing is idle.</w:t>
      </w:r>
    </w:p>
    <w:bookmarkStart w:id="16" w:name="X4a7476eaab1aa44415a4ecfb37d48ef0b2c6931"/>
    <w:p>
      <w:pPr>
        <w:pStyle w:val="Heading3"/>
      </w:pPr>
      <w:r>
        <w:t xml:space="preserve">5.1 Trust-score / UQ estimator interface</w:t>
      </w:r>
    </w:p>
    <w:p>
      <w:pPr>
        <w:pStyle w:val="FirstParagraph"/>
      </w:pPr>
      <w:r>
        <w:t xml:space="preserve">A uniform contract across all 20 KPIs regardless of which model family won registration.</w:t>
      </w:r>
      <w:r>
        <w:t xml:space="preserve"> </w:t>
      </w:r>
      <w:r>
        <w:rPr>
          <w:b/>
          <w:bCs/>
        </w:rPr>
        <w:t xml:space="preserve">Not a two-way split</w:t>
      </w:r>
      <w:r>
        <w:t xml:space="preserve"> </w:t>
      </w:r>
      <w:r>
        <w:t xml:space="preserve">— three distinct dispatch paths, because the native-UQ techniques are mathematically specific to particular model families (this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Task 1 §4.1 lists "RF jackknife" and "probabilistic GBM/NGBoost" as two separate SOTA items, not one):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Model families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Bagged-tree native</w:t>
            </w:r>
          </w:p>
        </w:tc>
        <w:tc>
          <w:tcPr/>
          <w:p>
            <w:pPr>
              <w:pStyle w:val="Compact"/>
            </w:pPr>
            <w:r>
              <w:t xml:space="preserve">RandomForest, ExtraTrees</w:t>
            </w:r>
          </w:p>
        </w:tc>
        <w:tc>
          <w:tcPr/>
          <w:p>
            <w:pPr>
              <w:pStyle w:val="Compact"/>
            </w:pPr>
            <w:r>
              <w:t xml:space="preserve">Infinitesimal jackknife / bagging variance across</w:t>
            </w:r>
            <w:r>
              <w:t xml:space="preserve"> </w:t>
            </w:r>
            <w:r>
              <w:rPr>
                <w:rStyle w:val="VerbatimChar"/>
              </w:rPr>
              <w:t xml:space="preserve">estimators_</w:t>
            </w:r>
          </w:p>
        </w:tc>
        <w:tc>
          <w:tcPr/>
          <w:p>
            <w:pPr>
              <w:pStyle w:val="Compact"/>
            </w:pPr>
            <w:r>
              <w:t xml:space="preserve">New work — genuinely missing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GPR native</w:t>
            </w:r>
          </w:p>
        </w:tc>
        <w:tc>
          <w:tcPr/>
          <w:p>
            <w:pPr>
              <w:pStyle w:val="Compact"/>
            </w:pPr>
            <w:r>
              <w:t xml:space="preserve">GPR (RBF, Matérn)</w:t>
            </w:r>
          </w:p>
        </w:tc>
        <w:tc>
          <w:tcPr/>
          <w:p>
            <w:pPr>
              <w:pStyle w:val="Compact"/>
            </w:pPr>
            <w:r>
              <w:t xml:space="preserve">Posterior std (</w:t>
            </w:r>
            <w:r>
              <w:rPr>
                <w:rStyle w:val="VerbatimChar"/>
              </w:rPr>
              <w:t xml:space="preserve">return_std=True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computed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nolhc_ml/src/evaluate.py</w:t>
            </w:r>
            <w:r>
              <w:t xml:space="preserve"> </w:t>
            </w:r>
            <w:r>
              <w:t xml:space="preserve">as a dormant</w:t>
            </w:r>
            <w:r>
              <w:t xml:space="preserve"> </w:t>
            </w:r>
            <w:r>
              <w:rPr>
                <w:rStyle w:val="VerbatimChar"/>
              </w:rPr>
              <w:t xml:space="preserve">gpr_native</w:t>
            </w:r>
            <w:r>
              <w:t xml:space="preserve"> </w:t>
            </w:r>
            <w:r>
              <w:t xml:space="preserve">block — v0 wires this into the live trust score rather than rebuilding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fallback</w:t>
            </w:r>
          </w:p>
        </w:tc>
        <w:tc>
          <w:tcPr/>
          <w:p>
            <w:pPr>
              <w:pStyle w:val="Compact"/>
            </w:pPr>
            <w:r>
              <w:t xml:space="preserve">Boosting (XGBoost/LightGBM/CatBoost/GradientBoosting/AdaBoost), SVR, linear (Ridge/Lasso/ElasticNet/BayesianRidge), polynomial, KNN, MLP, stacking</w:t>
            </w:r>
          </w:p>
        </w:tc>
        <w:tc>
          <w:tcPr/>
          <w:p>
            <w:pPr>
              <w:pStyle w:val="Compact"/>
            </w:pPr>
            <w:r>
              <w:t xml:space="preserve">Split-conformal on residuals</w:t>
            </w:r>
          </w:p>
        </w:tc>
        <w:tc>
          <w:tcPr/>
          <w:p>
            <w:pPr>
              <w:pStyle w:val="Compact"/>
            </w:pPr>
            <w:r>
              <w:t xml:space="preserve">Already exists (</w:t>
            </w:r>
            <w:r>
              <w:rPr>
                <w:rStyle w:val="VerbatimChar"/>
              </w:rPr>
              <w:t xml:space="preserve">conformal_predict.py</w:t>
            </w:r>
            <w:r>
              <w:t xml:space="preserve">) and is what</w:t>
            </w:r>
            <w:r>
              <w:t xml:space="preserve"> </w:t>
            </w:r>
            <w:r>
              <w:rPr>
                <w:b/>
                <w:bCs/>
              </w:rPr>
              <w:t xml:space="preserve">all 19 models get today, uniformly</w:t>
            </w:r>
            <w:r>
              <w:t xml:space="preserve"> </w:t>
            </w:r>
            <w:r>
              <w:t xml:space="preserve">— stays correct for this group. NGBoost-style native boosting UQ is flagged as future work, not v0</w:t>
            </w:r>
          </w:p>
        </w:tc>
      </w:tr>
    </w:tbl>
    <w:p>
      <w:pPr>
        <w:pStyle w:val="BodyText"/>
      </w:pPr>
      <w:r>
        <w:t xml:space="preserve">All three paths emit the same normalized interval/score shape so the loop's threshold logic doesn't care which family produced it. Trust score = UQ term (normalized interval width per KPI)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novelty term (distance to the 35-dim training hull), combined once — this is the "one criterion, shared across both cases" the brief asks for.</w:t>
      </w:r>
    </w:p>
    <w:p>
      <w:pPr>
        <w:pStyle w:val="BodyText"/>
      </w:pPr>
      <w:r>
        <w:rPr>
          <w:b/>
          <w:bCs/>
        </w:rPr>
        <w:t xml:space="preserve">Confirmed gap motivating this work</w:t>
      </w:r>
      <w:r>
        <w:t xml:space="preserve"> </w:t>
      </w:r>
      <w:r>
        <w:t xml:space="preserve">(checked against the live code, not assumed): the conformal interval is not just uncomputed for trees — it's computed and even returned by</w:t>
      </w:r>
      <w:r>
        <w:t xml:space="preserve"> </w:t>
      </w:r>
      <w:r>
        <w:rPr>
          <w:rStyle w:val="VerbatimChar"/>
        </w:rPr>
        <w:t xml:space="preserve">experimenting_ml</w:t>
      </w:r>
      <w:r>
        <w:t xml:space="preserve">'s</w:t>
      </w:r>
      <w:r>
        <w:t xml:space="preserve"> </w:t>
      </w:r>
      <w:r>
        <w:rPr>
          <w:rStyle w:val="VerbatimChar"/>
        </w:rPr>
        <w:t xml:space="preserve">/infer</w:t>
      </w:r>
      <w:r>
        <w:t xml:space="preserve"> </w:t>
      </w:r>
      <w:r>
        <w:t xml:space="preserve">API today, but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UI frontend reads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coverage_level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empirical_coverage</w:t>
      </w:r>
      <w:r>
        <w:t xml:space="preserve">. The only reliability signal a user currently sees is a static, global, training-time R² badge — not a per-scenario, input-dependent uncertainty band. See §2 audit table, UQ row.</w:t>
      </w:r>
    </w:p>
    <w:p>
      <w:pPr>
        <w:pStyle w:val="BodyText"/>
      </w:pPr>
      <w:r>
        <w:rPr>
          <w:b/>
          <w:bCs/>
        </w:rPr>
        <w:t xml:space="preserve">v0 demo KPIs (4, one per dispatch path plus a stress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Dispatch path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TT_OB_Agri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Bagged-tree native (jackknife)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Uti_DAFM_R</w:t>
            </w:r>
          </w:p>
        </w:tc>
        <w:tc>
          <w:tcPr/>
          <w:p>
            <w:pPr>
              <w:pStyle w:val="Compact"/>
            </w:pPr>
            <w:r>
              <w:t xml:space="preserve">GPR_RBF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GPR native (wiring existing</w:t>
            </w:r>
            <w:r>
              <w:t xml:space="preserve"> </w:t>
            </w:r>
            <w:r>
              <w:rPr>
                <w:rStyle w:val="VerbatimChar"/>
              </w:rPr>
              <w:t xml:space="preserve">evaluate.py</w:t>
            </w:r>
            <w:r>
              <w:t xml:space="preserve"> </w:t>
            </w:r>
            <w:r>
              <w:t xml:space="preserve">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WT_OB_A_GB-Ross</w:t>
            </w:r>
          </w:p>
        </w:tc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Conformal fallback — boosting family specifically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TT_IB_DR</w:t>
            </w:r>
          </w:p>
        </w:tc>
        <w:tc>
          <w:tcPr/>
          <w:p>
            <w:pPr>
              <w:pStyle w:val="Compact"/>
            </w:pPr>
            <w:r>
              <w:t xml:space="preserve">Stacking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Conformal fallback — stress test (already flagged in the due-diligence report as "not useful for screening"; proves the trust score correctly reads as low-trust)</w:t>
            </w:r>
          </w:p>
        </w:tc>
      </w:tr>
    </w:tbl>
    <w:p>
      <w:pPr>
        <w:pStyle w:val="BodyText"/>
      </w:pPr>
      <w:r>
        <w:t xml:space="preserve">Full 20-KPI coverage is explicitly deferred (§3, §5.5) — the report should frame this as extensible groundwork done on top of the already-shipped ML engine, not final coverage.</w:t>
      </w:r>
    </w:p>
    <w:bookmarkEnd w:id="16"/>
    <w:bookmarkStart w:id="17" w:name="X37879001677b0640c52912748b79ead5633ffc4"/>
    <w:p>
      <w:pPr>
        <w:pStyle w:val="Heading3"/>
      </w:pPr>
      <w:r>
        <w:t xml:space="preserve">5.1.1 Two-tier scope: generic-by-default, demo-4, stretch-20</w:t>
      </w:r>
    </w:p>
    <w:p>
      <w:pPr>
        <w:pStyle w:val="FirstParagraph"/>
      </w:pPr>
      <w:r>
        <w:t xml:space="preserve">Checked against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, the 20 registered KPIs split across the three dispatch paths as:</w:t>
      </w:r>
      <w:r>
        <w:t xml:space="preserve"> </w:t>
      </w:r>
      <w:r>
        <w:rPr>
          <w:b/>
          <w:bCs/>
        </w:rPr>
        <w:t xml:space="preserve">3 bagged-tree, 4 GPR, 13 conformal.</w:t>
      </w:r>
      <w:r>
        <w:t xml:space="preserve"> </w:t>
      </w:r>
      <w:r>
        <w:t xml:space="preserve">Conformal is already fully built (13 of 20 KPIs), GPR native reuses existing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logic (4 of 20), and only the bagged-tree jackknife is genuinely new code (3 of 20). That means "all 20" is not 20 separate builds — it's the same 3 dispatch functions called more times — but it does mean 16 more KPIs' worth of QA surface area against a deadline with exactly one buffer day. Three tiers, in order of commitment: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Generic by default (build-time requirement, not optional).</w:t>
      </w:r>
      <w:r>
        <w:t xml:space="preserve"> </w:t>
      </w:r>
      <w:r>
        <w:t xml:space="preserve">The UQ dispatcher (T2.1/T2.3) takes a KPI list as a parameter and routes each KPI by reading its</w:t>
      </w:r>
      <w:r>
        <w:t xml:space="preserve"> </w:t>
      </w:r>
      <w:r>
        <w:rPr>
          <w:rStyle w:val="VerbatimChar"/>
        </w:rPr>
        <w:t xml:space="preserve">registered_as</w:t>
      </w:r>
      <w:r>
        <w:t xml:space="preserve"> </w:t>
      </w:r>
      <w:r>
        <w:t xml:space="preserve">field from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— never hardcoded to the 4 demo KPIs. This costs nothing extra now and removes any later rewrite.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Demo-4 (core scope, in the Definition of Done, §5.5).</w:t>
      </w:r>
      <w:r>
        <w:t xml:space="preserve"> </w:t>
      </w:r>
      <w:r>
        <w:t xml:space="preserve">The 4 KPIs in the table above are the ones actually validated, debugged, and written up for the 10-Sep report. This is what the deadline is sized against.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Stretch-20 (opportunistic, explicitly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 the Definition of Done).</w:t>
      </w:r>
      <w:r>
        <w:t xml:space="preserve"> </w:t>
      </w:r>
      <w:r>
        <w:t xml:space="preserve">If the BUFFER day (§6) has slack, run the same dispatcher across all 20 registered KPIs as a bonus scale-check. A failure here doesn't block v0 sign-off since it isn't required; a clean run becomes a strong report line ("validated in depth on 4 representative KPIs spanning all three dispatch paths, then executed across all 20 registered KPIs to confirm it holds at full scale").</w:t>
      </w:r>
    </w:p>
    <w:bookmarkEnd w:id="17"/>
    <w:bookmarkStart w:id="18" w:name="X5a2304e57b9cdfab54c1a172b08299f23c6b4f8"/>
    <w:p>
      <w:pPr>
        <w:pStyle w:val="Heading3"/>
      </w:pPr>
      <w:r>
        <w:t xml:space="preserve">5.2 Synthetic DES benchmark</w:t>
      </w:r>
    </w:p>
    <w:p>
      <w:pPr>
        <w:pStyle w:val="FirstParagraph"/>
      </w:pPr>
      <w:r>
        <w:t xml:space="preserve">Primary approach: fit a high-capacity surface (e.g. a GP per KPI) to the</w:t>
      </w:r>
      <w:r>
        <w:t xml:space="preserve"> </w:t>
      </w:r>
      <w:r>
        <w:rPr>
          <w:b/>
          <w:bCs/>
        </w:rPr>
        <w:t xml:space="preserve">existing 129×35×20 data</w:t>
      </w:r>
      <w:r>
        <w:t xml:space="preserve"> </w:t>
      </w:r>
      <w:r>
        <w:t xml:space="preserve">as a stand-in ground truth, then sample new points from it with injected replication noise to emulate a new AnyLogic run cheaply. Keeps the benchmark grounded in the real problem's shape and noise rather than an arbitrary toy — defensible in the write-up.</w:t>
      </w:r>
      <w:r>
        <w:t xml:space="preserve"> </w:t>
      </w:r>
      <w:r>
        <w:t xml:space="preserve">Secondary: a cheap toy analytic function, dev-only, for fast sanity-checks while iterating on loop mechanics.</w:t>
      </w:r>
    </w:p>
    <w:bookmarkEnd w:id="18"/>
    <w:bookmarkStart w:id="19" w:name="X24eb21d828e3be505d72af7e806537ed1359cf0"/>
    <w:p>
      <w:pPr>
        <w:pStyle w:val="Heading3"/>
      </w:pPr>
      <w:r>
        <w:t xml:space="preserve">5.3 Batch-sequential loop v0</w:t>
      </w:r>
    </w:p>
    <w:p>
      <w:pPr>
        <w:pStyle w:val="SourceCode"/>
      </w:pPr>
      <w:r>
        <w:rPr>
          <w:rStyle w:val="VerbatimChar"/>
        </w:rPr>
        <w:t xml:space="preserve">propose/receive candidates → trust score (UQ + novelty) → flag if below threshold</w:t>
      </w:r>
      <w:r>
        <w:br/>
      </w:r>
      <w:r>
        <w:rPr>
          <w:rStyle w:val="VerbatimChar"/>
        </w:rPr>
        <w:t xml:space="preserve">        → batch (dedupe near-duplicates, cap by DES-run budget)</w:t>
      </w:r>
      <w:r>
        <w:br/>
      </w:r>
      <w:r>
        <w:rPr>
          <w:rStyle w:val="VerbatimChar"/>
        </w:rPr>
        <w:t xml:space="preserve">        → DES backend  ⟵ swappable: SyntheticDESBackend (now) / ManualWorklistDESBackend (later)</w:t>
      </w:r>
      <w:r>
        <w:br/>
      </w:r>
      <w:r>
        <w:rPr>
          <w:rStyle w:val="VerbatimChar"/>
        </w:rPr>
        <w:t xml:space="preserve">        → ingest results → append to training data → retrain per-KPI models</w:t>
      </w:r>
      <w:r>
        <w:br/>
      </w:r>
      <w:r>
        <w:rPr>
          <w:rStyle w:val="VerbatimChar"/>
        </w:rPr>
        <w:t xml:space="preserve">        → recalibrate UQ (refit conformal quantiles / QRF on updated data)</w:t>
      </w:r>
    </w:p>
    <w:p>
      <w:pPr>
        <w:pStyle w:val="FirstParagraph"/>
      </w:pPr>
      <w:r>
        <w:t xml:space="preserve">Both entry points — a proposed candidate pool and a live scored request — feed the same trust-score function; only the batching/queueing behaviour differs (proposed points batch proactively, live requests queue reactively).</w:t>
      </w:r>
    </w:p>
    <w:bookmarkEnd w:id="19"/>
    <w:bookmarkStart w:id="20" w:name="X661e34f80c3bc0dca19a54e02f5c7b287159877"/>
    <w:p>
      <w:pPr>
        <w:pStyle w:val="Heading3"/>
      </w:pPr>
      <w:r>
        <w:t xml:space="preserve">5.4 Module layout (proposed, open to change)</w:t>
      </w:r>
    </w:p>
    <w:p>
      <w:pPr>
        <w:pStyle w:val="SourceCode"/>
      </w:pPr>
      <w:r>
        <w:rPr>
          <w:rStyle w:val="VerbatimChar"/>
        </w:rPr>
        <w:t xml:space="preserve">experimenting_ml/src/loop/</w:t>
      </w:r>
      <w:r>
        <w:br/>
      </w:r>
      <w:r>
        <w:rPr>
          <w:rStyle w:val="VerbatimChar"/>
        </w:rPr>
        <w:t xml:space="preserve">  uq/            # jackknife, QRF, NGBoost-style wrappers + conformal fallback</w:t>
      </w:r>
      <w:r>
        <w:br/>
      </w:r>
      <w:r>
        <w:rPr>
          <w:rStyle w:val="VerbatimChar"/>
        </w:rPr>
        <w:t xml:space="preserve">  des_backend/   # SyntheticDESBackend now; ManualWorklistDESBackend (export/ingest xlsx) later</w:t>
      </w:r>
      <w:r>
        <w:br/>
      </w:r>
      <w:r>
        <w:rPr>
          <w:rStyle w:val="VerbatimChar"/>
        </w:rPr>
        <w:t xml:space="preserve">  loop.py        # orchestrator: score → batch → simulate → retrain → recalibrate</w:t>
      </w:r>
    </w:p>
    <w:p>
      <w:pPr>
        <w:pStyle w:val="FirstParagraph"/>
      </w:pPr>
      <w:r>
        <w:t xml:space="preserve">Builds on existing</w:t>
      </w:r>
      <w:r>
        <w:t xml:space="preserve"> </w:t>
      </w:r>
      <w:r>
        <w:rPr>
          <w:rStyle w:val="VerbatimChar"/>
        </w:rPr>
        <w:t xml:space="preserve">retrain.py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conformal_predict.py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. Lives in</w:t>
      </w:r>
      <w:r>
        <w:t xml:space="preserve"> </w:t>
      </w:r>
      <w:r>
        <w:rPr>
          <w:rStyle w:val="VerbatimChar"/>
        </w:rPr>
        <w:t xml:space="preserve">experimenting_ml</w:t>
      </w:r>
      <w:r>
        <w:t xml:space="preserve"> </w:t>
      </w:r>
      <w:r>
        <w:t xml:space="preserve">(the research arm) first; promotion into</w:t>
      </w:r>
      <w:r>
        <w:t xml:space="preserve"> </w:t>
      </w:r>
      <w:r>
        <w:rPr>
          <w:rStyle w:val="VerbatimChar"/>
        </w:rPr>
        <w:t xml:space="preserve">nolhc_ml</w:t>
      </w:r>
      <w:r>
        <w:t xml:space="preserve"> </w:t>
      </w:r>
      <w:r>
        <w:t xml:space="preserve">production is a later decision, mirroring how SHAP graduated from experiment to production UI.</w:t>
      </w:r>
    </w:p>
    <w:bookmarkEnd w:id="20"/>
    <w:bookmarkStart w:id="21" w:name="X24d0ed9352a85f3ea30e157a97fe51422a4103d"/>
    <w:p>
      <w:pPr>
        <w:pStyle w:val="Heading3"/>
      </w:pPr>
      <w:r>
        <w:t xml:space="preserve">5.5 Definition of done for v0</w:t>
      </w:r>
    </w:p>
    <w:p>
      <w:pPr>
        <w:pStyle w:val="FirstParagraph"/>
      </w:pPr>
      <w:r>
        <w:rPr>
          <w:b/>
          <w:bCs/>
        </w:rPr>
        <w:t xml:space="preserve">Core (required for sign-off):</w:t>
      </w:r>
    </w:p>
    <w:p>
      <w:pPr>
        <w:pStyle w:val="Compact"/>
        <w:numPr>
          <w:ilvl w:val="0"/>
          <w:numId w:val="1006"/>
        </w:numPr>
      </w:pPr>
      <w:r>
        <w:t xml:space="preserve">UQ estimator interface implemented across all three dispatch paths (§5.1): bagged-tree native, GPR native, conformal fallback — using the 4 demo KPIs (TT_OB_Agri, Uti_DAFM_R, WT_OB_A_GB-Ross, TT_IB_DR).</w:t>
      </w:r>
    </w:p>
    <w:p>
      <w:pPr>
        <w:pStyle w:val="Compact"/>
        <w:numPr>
          <w:ilvl w:val="0"/>
          <w:numId w:val="1006"/>
        </w:numPr>
      </w:pPr>
      <w:r>
        <w:t xml:space="preserve">Dispatcher is generic (§5.1.1 tier 1) — takes a KPI list, routes by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registered_as</w:t>
      </w:r>
      <w:r>
        <w:t xml:space="preserve">, not hardcoded to the 4 demo KPIs.</w:t>
      </w:r>
    </w:p>
    <w:p>
      <w:pPr>
        <w:pStyle w:val="Compact"/>
        <w:numPr>
          <w:ilvl w:val="0"/>
          <w:numId w:val="1006"/>
        </w:numPr>
      </w:pPr>
      <w:r>
        <w:t xml:space="preserve">Synthetic DES backend produces new "runs" for arbitrary candidate points with injected noise.</w:t>
      </w:r>
    </w:p>
    <w:p>
      <w:pPr>
        <w:pStyle w:val="Compact"/>
        <w:numPr>
          <w:ilvl w:val="0"/>
          <w:numId w:val="1006"/>
        </w:numPr>
      </w:pPr>
      <w:r>
        <w:t xml:space="preserve">Loop runs end-to-end on synthetic data: flags a batch, "simulates" it, retrains, recalibrates, and the trust score changes sensibly afterward.</w:t>
      </w:r>
    </w:p>
    <w:p>
      <w:pPr>
        <w:pStyle w:val="Compact"/>
        <w:numPr>
          <w:ilvl w:val="0"/>
          <w:numId w:val="1006"/>
        </w:numPr>
      </w:pPr>
      <w:r>
        <w:t xml:space="preserve">No wiring to real/manual AnyLogic required for v0 sign-off.</w:t>
      </w:r>
    </w:p>
    <w:p>
      <w:pPr>
        <w:pStyle w:val="FirstParagraph"/>
      </w:pPr>
      <w:r>
        <w:rPr>
          <w:b/>
          <w:bCs/>
        </w:rPr>
        <w:t xml:space="preserve">Stretch (§5.1.1 tier 3, opportunistic — does not block sign-off):</w:t>
      </w:r>
    </w:p>
    <w:p>
      <w:pPr>
        <w:pStyle w:val="Compact"/>
        <w:numPr>
          <w:ilvl w:val="0"/>
          <w:numId w:val="1007"/>
        </w:numPr>
      </w:pPr>
      <w:r>
        <w:t xml:space="preserve">Same dispatcher and loop executed across all 20 registered KPIs, time permitting in the BUFFER slot (§6). Report as a bonus scale-check if it completes cleanly; otherwise omit without affecting the core deliverable.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fc8533a823f2f379a6ca99988b4263599f9c91"/>
    <w:p>
      <w:pPr>
        <w:pStyle w:val="Heading2"/>
      </w:pPr>
      <w:r>
        <w:t xml:space="preserve">6. Work split &amp; sequencing</w:t>
      </w:r>
    </w:p>
    <w:p>
      <w:pPr>
        <w:pStyle w:val="FirstParagraph"/>
      </w:pPr>
      <w:r>
        <w:rPr>
          <w:b/>
          <w:bCs/>
        </w:rPr>
        <w:t xml:space="preserve">Hard constraint:</w:t>
      </w:r>
      <w:r>
        <w:t xml:space="preserve"> </w:t>
      </w:r>
      <w:r>
        <w:t xml:space="preserve">report submission is</w:t>
      </w:r>
      <w:r>
        <w:t xml:space="preserve"> </w:t>
      </w:r>
      <w:r>
        <w:rPr>
          <w:b/>
          <w:bCs/>
        </w:rPr>
        <w:t xml:space="preserve">10-Sep-2026</w:t>
      </w:r>
      <w:r>
        <w:t xml:space="preserve">, and report writing itself needs at least 5 days — so implementation must be frozen by</w:t>
      </w:r>
      <w:r>
        <w:t xml:space="preserve"> </w:t>
      </w:r>
      <w:r>
        <w:rPr>
          <w:b/>
          <w:bCs/>
        </w:rPr>
        <w:t xml:space="preserve">1-Sep-2026</w:t>
      </w:r>
      <w:r>
        <w:t xml:space="preserve">. That only leaves 8 working days, so the schedule below runs 7 days/week (weekends included) rather than business-days-only. Full detail, including a day-by-day Gantt, lives in</w:t>
      </w:r>
      <w:r>
        <w:t xml:space="preserve"> </w:t>
      </w:r>
      <w:r>
        <w:rPr>
          <w:rStyle w:val="VerbatimChar"/>
        </w:rPr>
        <w:t xml:space="preserve">Task2_Implementation_Timeline.xlsx</w:t>
      </w:r>
      <w:r>
        <w:t xml:space="preserve">; this table is the condensed version kept in sync with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T1.x</w:t>
            </w:r>
          </w:p>
        </w:tc>
        <w:tc>
          <w:tcPr/>
          <w:p>
            <w:pPr>
              <w:pStyle w:val="Compact"/>
            </w:pPr>
            <w:r>
              <w:t xml:space="preserve">Task 1 tail — gist + citation fixes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24-Aug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</w:t>
            </w:r>
          </w:p>
        </w:tc>
        <w:tc>
          <w:tcPr/>
          <w:p>
            <w:pPr>
              <w:pStyle w:val="Compact"/>
            </w:pPr>
            <w:r>
              <w:t xml:space="preserve">Module scaffolding + generic dispatcher interfaces (§5.1.1 tier 1)</w:t>
            </w:r>
          </w:p>
        </w:tc>
        <w:tc>
          <w:tcPr/>
          <w:p>
            <w:pPr>
              <w:pStyle w:val="Compact"/>
            </w:pPr>
            <w:r>
              <w:t xml:space="preserve">Nila</w:t>
            </w:r>
          </w:p>
        </w:tc>
        <w:tc>
          <w:tcPr/>
          <w:p>
            <w:pPr>
              <w:pStyle w:val="Compact"/>
            </w:pPr>
            <w:r>
              <w:t xml:space="preserve">24–25-Aug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</w:t>
            </w:r>
          </w:p>
        </w:tc>
        <w:tc>
          <w:tcPr/>
          <w:p>
            <w:pPr>
              <w:pStyle w:val="Compact"/>
            </w:pPr>
            <w:r>
              <w:t xml:space="preserve">Ground-truth GP surface + noise model, 4 KPIs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25–26-Aug</w:t>
            </w:r>
          </w:p>
        </w:tc>
        <w:tc>
          <w:tcPr/>
          <w:p>
            <w:pPr>
              <w:pStyle w:val="Compact"/>
            </w:pPr>
            <w:r>
              <w:t xml:space="preserve">T1.x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T2.3</w:t>
            </w:r>
          </w:p>
        </w:tc>
        <w:tc>
          <w:tcPr/>
          <w:p>
            <w:pPr>
              <w:pStyle w:val="Compact"/>
            </w:pPr>
            <w:r>
              <w:t xml:space="preserve">UQ estimator: bagged-tree jackknife (new) + GPR-native (reuse) + conformal (reuse)</w:t>
            </w:r>
          </w:p>
        </w:tc>
        <w:tc>
          <w:tcPr/>
          <w:p>
            <w:pPr>
              <w:pStyle w:val="Compact"/>
            </w:pPr>
            <w:r>
              <w:t xml:space="preserve">Nila</w:t>
            </w:r>
          </w:p>
        </w:tc>
        <w:tc>
          <w:tcPr/>
          <w:p>
            <w:pPr>
              <w:pStyle w:val="Compact"/>
            </w:pPr>
            <w:r>
              <w:t xml:space="preserve">26–27-Aug</w:t>
            </w:r>
          </w:p>
        </w:tc>
        <w:tc>
          <w:tcPr/>
          <w:p>
            <w:pPr>
              <w:pStyle w:val="Compact"/>
            </w:pPr>
            <w:r>
              <w:t xml:space="preserve">T2.1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T2.4</w:t>
            </w:r>
          </w:p>
        </w:tc>
        <w:tc>
          <w:tcPr/>
          <w:p>
            <w:pPr>
              <w:pStyle w:val="Compact"/>
            </w:pPr>
            <w:r>
              <w:t xml:space="preserve">Novelty/OOD scorer (IsolationForest)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27–28-Aug</w:t>
            </w:r>
          </w:p>
        </w:tc>
        <w:tc>
          <w:tcPr/>
          <w:p>
            <w:pPr>
              <w:pStyle w:val="Compact"/>
            </w:pPr>
            <w:r>
              <w:t xml:space="preserve">T2.2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T2.5</w:t>
            </w:r>
          </w:p>
        </w:tc>
        <w:tc>
          <w:tcPr/>
          <w:p>
            <w:pPr>
              <w:pStyle w:val="Compact"/>
            </w:pPr>
            <w:r>
              <w:t xml:space="preserve">SyntheticDESBackend implementation</w:t>
            </w:r>
          </w:p>
        </w:tc>
        <w:tc>
          <w:tcPr/>
          <w:p>
            <w:pPr>
              <w:pStyle w:val="Compact"/>
            </w:pPr>
            <w:r>
              <w:t xml:space="preserve">Nila</w:t>
            </w:r>
          </w:p>
        </w:tc>
        <w:tc>
          <w:tcPr/>
          <w:p>
            <w:pPr>
              <w:pStyle w:val="Compact"/>
            </w:pPr>
            <w:r>
              <w:t xml:space="preserve">28-Aug</w:t>
            </w:r>
          </w:p>
        </w:tc>
        <w:tc>
          <w:tcPr/>
          <w:p>
            <w:pPr>
              <w:pStyle w:val="Compact"/>
            </w:pPr>
            <w:r>
              <w:t xml:space="preserve">T2.1, T2.2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T2.6</w:t>
            </w:r>
          </w:p>
        </w:tc>
        <w:tc>
          <w:tcPr/>
          <w:p>
            <w:pPr>
              <w:pStyle w:val="Compact"/>
            </w:pPr>
            <w:r>
              <w:t xml:space="preserve">Unify trust score (UQ + novelty)</w:t>
            </w:r>
          </w:p>
        </w:tc>
        <w:tc>
          <w:tcPr/>
          <w:p>
            <w:pPr>
              <w:pStyle w:val="Compact"/>
            </w:pPr>
            <w:r>
              <w:t xml:space="preserve">Nila + Sakshi</w:t>
            </w:r>
          </w:p>
        </w:tc>
        <w:tc>
          <w:tcPr/>
          <w:p>
            <w:pPr>
              <w:pStyle w:val="Compact"/>
            </w:pPr>
            <w:r>
              <w:t xml:space="preserve">29-Aug</w:t>
            </w:r>
          </w:p>
        </w:tc>
        <w:tc>
          <w:tcPr/>
          <w:p>
            <w:pPr>
              <w:pStyle w:val="Compact"/>
            </w:pPr>
            <w:r>
              <w:t xml:space="preserve">T2.3, T2.4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T2.7</w:t>
            </w:r>
          </w:p>
        </w:tc>
        <w:tc>
          <w:tcPr/>
          <w:p>
            <w:pPr>
              <w:pStyle w:val="Compact"/>
            </w:pPr>
            <w:r>
              <w:t xml:space="preserve">Batch-sequential loop v0 orchestrator</w:t>
            </w:r>
          </w:p>
        </w:tc>
        <w:tc>
          <w:tcPr/>
          <w:p>
            <w:pPr>
              <w:pStyle w:val="Compact"/>
            </w:pPr>
            <w:r>
              <w:t xml:space="preserve">Nila</w:t>
            </w:r>
          </w:p>
        </w:tc>
        <w:tc>
          <w:tcPr/>
          <w:p>
            <w:pPr>
              <w:pStyle w:val="Compact"/>
            </w:pPr>
            <w:r>
              <w:t xml:space="preserve">30-Aug</w:t>
            </w:r>
          </w:p>
        </w:tc>
        <w:tc>
          <w:tcPr/>
          <w:p>
            <w:pPr>
              <w:pStyle w:val="Compact"/>
            </w:pPr>
            <w:r>
              <w:t xml:space="preserve">T2.5, T2.6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T2.8</w:t>
            </w:r>
          </w:p>
        </w:tc>
        <w:tc>
          <w:tcPr/>
          <w:p>
            <w:pPr>
              <w:pStyle w:val="Compact"/>
            </w:pPr>
            <w:r>
              <w:t xml:space="preserve">Smoke test, freeze results, hand off to report</w:t>
            </w:r>
          </w:p>
        </w:tc>
        <w:tc>
          <w:tcPr/>
          <w:p>
            <w:pPr>
              <w:pStyle w:val="Compact"/>
            </w:pPr>
            <w:r>
              <w:t xml:space="preserve">Nila + Sakshi</w:t>
            </w:r>
          </w:p>
        </w:tc>
        <w:tc>
          <w:tcPr/>
          <w:p>
            <w:pPr>
              <w:pStyle w:val="Compact"/>
            </w:pPr>
            <w:r>
              <w:t xml:space="preserve">31-Aug</w:t>
            </w:r>
          </w:p>
        </w:tc>
        <w:tc>
          <w:tcPr/>
          <w:p>
            <w:pPr>
              <w:pStyle w:val="Compact"/>
            </w:pPr>
            <w:r>
              <w:t xml:space="preserve">T2.7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  <w:r>
              <w:t xml:space="preserve"> </w:t>
            </w:r>
            <w:r>
              <w:rPr>
                <w:b/>
                <w:bCs/>
              </w:rPr>
              <w:t xml:space="preserve">+ stretch-20 slot</w:t>
            </w:r>
            <w:r>
              <w:t xml:space="preserve"> </w:t>
            </w:r>
            <w:r>
              <w:t xml:space="preserve">(§5.1.1 tier 3) if no slip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1-Sep</w:t>
            </w:r>
          </w:p>
        </w:tc>
        <w:tc>
          <w:tcPr/>
          <w:p>
            <w:pPr>
              <w:pStyle w:val="Compact"/>
            </w:pPr>
            <w:r>
              <w:t xml:space="preserve">T2.8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R.1</w:t>
            </w:r>
          </w:p>
        </w:tc>
        <w:tc>
          <w:tcPr/>
          <w:p>
            <w:pPr>
              <w:pStyle w:val="Compact"/>
            </w:pPr>
            <w:r>
              <w:t xml:space="preserve">Report writing (5-day minimum, as requested)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2–6-Sep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R.1b</w:t>
            </w:r>
          </w:p>
        </w:tc>
        <w:tc>
          <w:tcPr/>
          <w:p>
            <w:pPr>
              <w:pStyle w:val="Compact"/>
            </w:pPr>
            <w:r>
              <w:t xml:space="preserve">Slack — mentor review, final polish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7–9-Sep</w:t>
            </w:r>
          </w:p>
        </w:tc>
        <w:tc>
          <w:tcPr/>
          <w:p>
            <w:pPr>
              <w:pStyle w:val="Compact"/>
            </w:pPr>
            <w:r>
              <w:t xml:space="preserve">R.1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deadline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10-Sep</w:t>
            </w:r>
          </w:p>
        </w:tc>
        <w:tc>
          <w:tcPr/>
          <w:p>
            <w:pPr>
              <w:pStyle w:val="Compact"/>
            </w:pPr>
            <w:r>
              <w:t xml:space="preserve">R.1b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71dc7edbefdaf16fb3670d42f9f85b7fd43b9e"/>
    <w:p>
      <w:pPr>
        <w:pStyle w:val="Heading2"/>
      </w:pPr>
      <w:r>
        <w:t xml:space="preserve">7. Open questions (not blocking Task 1/2, but need answers before promotion)</w:t>
      </w:r>
    </w:p>
    <w:p>
      <w:pPr>
        <w:pStyle w:val="Compact"/>
        <w:numPr>
          <w:ilvl w:val="0"/>
          <w:numId w:val="1008"/>
        </w:numPr>
      </w:pPr>
      <w:r>
        <w:t xml:space="preserve">Confirm with the mentor/simulation partner: are the 122 AnyLogic inputs outside the NOLHC 35 held fixed across all 129 runs? (Affects how far the novelty-detection scope can be trusted.)</w:t>
      </w:r>
    </w:p>
    <w:p>
      <w:pPr>
        <w:pStyle w:val="Compact"/>
        <w:numPr>
          <w:ilvl w:val="0"/>
          <w:numId w:val="1008"/>
        </w:numPr>
      </w:pPr>
      <w:r>
        <w:t xml:space="preserve">When the loop is ready to touch the real DES, what does the</w:t>
      </w:r>
      <w:r>
        <w:t xml:space="preserve"> </w:t>
      </w:r>
      <w:r>
        <w:rPr>
          <w:rStyle w:val="VerbatimChar"/>
        </w:rPr>
        <w:t xml:space="preserve">ManualWorklistDESBackend</w:t>
      </w:r>
      <w:r>
        <w:t xml:space="preserve"> </w:t>
      </w:r>
      <w:r>
        <w:t xml:space="preserve">export/ingest format need to look like for whoever runs AnyLogic by hand?</w:t>
      </w:r>
    </w:p>
    <w:p>
      <w:pPr>
        <w:pStyle w:val="Compact"/>
        <w:numPr>
          <w:ilvl w:val="0"/>
          <w:numId w:val="1008"/>
        </w:numPr>
      </w:pPr>
      <w:r>
        <w:t xml:space="preserve">Does the trust-score threshold get tuned per-KPI or globally? (Deferred to Task 2 experimentation.)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draft. Confirm or edit before implementation starts.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Uncertainty-Aware, Batch-Sequential Retraining Loop — Spec</dc:title>
  <dc:creator/>
  <cp:keywords/>
  <dcterms:created xsi:type="dcterms:W3CDTF">2026-08-24T12:02:50Z</dcterms:created>
  <dcterms:modified xsi:type="dcterms:W3CDTF">2026-08-24T12:02:50Z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