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REPORT</w:t>
        <w:br/>
      </w:r>
      <w:r>
        <w:rPr>
          <w:b/>
          <w:sz w:val="32"/>
        </w:rPr>
        <w:t>Data Cleaning and Preliminary Analysis with R</w:t>
      </w:r>
    </w:p>
    <w:p>
      <w:pPr>
        <w:jc w:val="center"/>
      </w:pPr>
      <w:r>
        <w:rPr>
          <w:b/>
        </w:rPr>
        <w:t>Dataset: Telco Customer Churn</w:t>
        <w:br/>
      </w:r>
      <w:r>
        <w:t>Tool: R / RStudio</w:t>
        <w:br/>
      </w:r>
      <w:r>
        <w:t>Week 1 Internship Submission</w:t>
      </w:r>
    </w:p>
    <w:p/>
    <w:p>
      <w:pPr>
        <w:pStyle w:val="Heading1"/>
      </w:pPr>
      <w:r>
        <w:t>1. Dataset Overview</w:t>
      </w:r>
    </w:p>
    <w:p>
      <w:r>
        <w:t>The dataset selected for this analysis is the Telco Customer Churn dataset, a publicly available customer analytics dataset. It contains information about 7,043 telecom customers across 22 variables. The dataset includes a combination of numerical and categorical attributes such as customer ID, gender, senior citizen status, partner, dependents, tenure, phone and internet services, contract type, payment method, monthly charges, total charges, and churn status.</w:t>
      </w:r>
    </w:p>
    <w:p>
      <w:r>
        <w:t>The main objective of the Week 1 analysis was to inspect the dataset, verify data quality, identify missing and duplicate observations, examine numerical variables, detect potential outliers, normalize selected numerical variables, encode selected categorical variables, and perform preliminary exploratory analysis to identify relationships with customer churn.</w:t>
      </w:r>
    </w:p>
    <w:p>
      <w:pPr>
        <w:pStyle w:val="Heading1"/>
      </w:pPr>
      <w:r>
        <w:t>2. Data Structure and Initial Inspection</w:t>
      </w:r>
    </w:p>
    <w:p>
      <w:pPr>
        <w:ind w:left="360"/>
      </w:pPr>
      <w:r>
        <w:rPr>
          <w:rFonts w:ascii="Consolas" w:hAnsi="Consolas"/>
          <w:sz w:val="18"/>
        </w:rPr>
        <w:t>str(telco)</w:t>
      </w:r>
    </w:p>
    <w:p>
      <w:r>
        <w:t>The structure check showed 7,043 observations and 22 variables. Numerical variables used in the analysis included tenure, MonthlyCharges, and TotalCharges. Several customer attributes were stored as character variables, while SeniorCitizenLabel was stored as a factor.</w:t>
      </w:r>
    </w:p>
    <w:p>
      <w:pPr>
        <w:pStyle w:val="Heading1"/>
      </w:pPr>
      <w:r>
        <w:t>3. Missing Values and Duplicate Check</w:t>
      </w:r>
    </w:p>
    <w:p>
      <w:pPr>
        <w:ind w:left="360"/>
      </w:pPr>
      <w:r>
        <w:rPr>
          <w:rFonts w:ascii="Consolas" w:hAnsi="Consolas"/>
          <w:sz w:val="18"/>
        </w:rPr>
        <w:t>colSums(is.na(telco))</w:t>
      </w:r>
    </w:p>
    <w:p>
      <w:r>
        <w:t>The missing-value check returned zero missing values for the variables in the working dataset. Therefore, no imputation or row deletion was required.</w:t>
      </w:r>
    </w:p>
    <w:p>
      <w:pPr>
        <w:ind w:left="360"/>
      </w:pPr>
      <w:r>
        <w:rPr>
          <w:rFonts w:ascii="Consolas" w:hAnsi="Consolas"/>
          <w:sz w:val="18"/>
        </w:rPr>
        <w:t>sum(duplicated(telco))</w:t>
      </w:r>
    </w:p>
    <w:p>
      <w:r>
        <w:t>The duplicate check returned 0, indicating that no duplicate rows were found.</w:t>
      </w:r>
    </w:p>
    <w:p>
      <w:pPr>
        <w:pStyle w:val="Heading1"/>
      </w:pPr>
      <w:r>
        <w:t>4. Summary Statistics</w:t>
      </w:r>
    </w:p>
    <w:p>
      <w:pPr>
        <w:ind w:left="360"/>
      </w:pPr>
      <w:r>
        <w:rPr>
          <w:rFonts w:ascii="Consolas" w:hAnsi="Consolas"/>
          <w:sz w:val="18"/>
        </w:rPr>
        <w:t>summary(telco[, c("tenure", "MonthlyCharges", "TotalCharges")])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Variable</w:t>
            </w:r>
          </w:p>
        </w:tc>
        <w:tc>
          <w:tcPr>
            <w:tcW w:type="dxa" w:w="1656"/>
          </w:tcPr>
          <w:p>
            <w:r>
              <w:t>Min</w:t>
            </w:r>
          </w:p>
        </w:tc>
        <w:tc>
          <w:tcPr>
            <w:tcW w:type="dxa" w:w="1656"/>
          </w:tcPr>
          <w:p>
            <w:r>
              <w:t>1st Quartile</w:t>
            </w:r>
          </w:p>
        </w:tc>
        <w:tc>
          <w:tcPr>
            <w:tcW w:type="dxa" w:w="1656"/>
          </w:tcPr>
          <w:p>
            <w:r>
              <w:t>Median</w:t>
            </w:r>
          </w:p>
        </w:tc>
        <w:tc>
          <w:tcPr>
            <w:tcW w:type="dxa" w:w="1656"/>
          </w:tcPr>
          <w:p>
            <w:r>
              <w:t>Mean</w:t>
            </w:r>
          </w:p>
        </w:tc>
        <w:tc>
          <w:tcPr>
            <w:tcW w:type="dxa" w:w="1656"/>
          </w:tcPr>
          <w:p>
            <w:r>
              <w:t>Max</w:t>
            </w:r>
          </w:p>
        </w:tc>
      </w:tr>
      <w:tr>
        <w:tc>
          <w:tcPr>
            <w:tcW w:type="dxa" w:w="1656"/>
          </w:tcPr>
          <w:p>
            <w:r>
              <w:t>Tenure</w:t>
            </w:r>
          </w:p>
        </w:tc>
        <w:tc>
          <w:tcPr>
            <w:tcW w:type="dxa" w:w="1656"/>
          </w:tcPr>
          <w:p>
            <w:r>
              <w:t>0</w:t>
            </w:r>
          </w:p>
        </w:tc>
        <w:tc>
          <w:tcPr>
            <w:tcW w:type="dxa" w:w="1656"/>
          </w:tcPr>
          <w:p>
            <w:r>
              <w:t>9</w:t>
            </w:r>
          </w:p>
        </w:tc>
        <w:tc>
          <w:tcPr>
            <w:tcW w:type="dxa" w:w="1656"/>
          </w:tcPr>
          <w:p>
            <w:r>
              <w:t>29</w:t>
            </w:r>
          </w:p>
        </w:tc>
        <w:tc>
          <w:tcPr>
            <w:tcW w:type="dxa" w:w="1656"/>
          </w:tcPr>
          <w:p>
            <w:r>
              <w:t>32.37</w:t>
            </w:r>
          </w:p>
        </w:tc>
        <w:tc>
          <w:tcPr>
            <w:tcW w:type="dxa" w:w="1656"/>
          </w:tcPr>
          <w:p>
            <w:r>
              <w:t>72</w:t>
            </w:r>
          </w:p>
        </w:tc>
      </w:tr>
      <w:tr>
        <w:tc>
          <w:tcPr>
            <w:tcW w:type="dxa" w:w="1656"/>
          </w:tcPr>
          <w:p>
            <w:r>
              <w:t>Monthly Charges</w:t>
            </w:r>
          </w:p>
        </w:tc>
        <w:tc>
          <w:tcPr>
            <w:tcW w:type="dxa" w:w="1656"/>
          </w:tcPr>
          <w:p>
            <w:r>
              <w:t>18.25</w:t>
            </w:r>
          </w:p>
        </w:tc>
        <w:tc>
          <w:tcPr>
            <w:tcW w:type="dxa" w:w="1656"/>
          </w:tcPr>
          <w:p>
            <w:r>
              <w:t>35.50</w:t>
            </w:r>
          </w:p>
        </w:tc>
        <w:tc>
          <w:tcPr>
            <w:tcW w:type="dxa" w:w="1656"/>
          </w:tcPr>
          <w:p>
            <w:r>
              <w:t>70.35</w:t>
            </w:r>
          </w:p>
        </w:tc>
        <w:tc>
          <w:tcPr>
            <w:tcW w:type="dxa" w:w="1656"/>
          </w:tcPr>
          <w:p>
            <w:r>
              <w:t>64.76</w:t>
            </w:r>
          </w:p>
        </w:tc>
        <w:tc>
          <w:tcPr>
            <w:tcW w:type="dxa" w:w="1656"/>
          </w:tcPr>
          <w:p>
            <w:r>
              <w:t>118.75</w:t>
            </w:r>
          </w:p>
        </w:tc>
      </w:tr>
      <w:tr>
        <w:tc>
          <w:tcPr>
            <w:tcW w:type="dxa" w:w="1656"/>
          </w:tcPr>
          <w:p>
            <w:r>
              <w:t>Total Charges</w:t>
            </w:r>
          </w:p>
        </w:tc>
        <w:tc>
          <w:tcPr>
            <w:tcW w:type="dxa" w:w="1656"/>
          </w:tcPr>
          <w:p>
            <w:r>
              <w:t>0.0</w:t>
            </w:r>
          </w:p>
        </w:tc>
        <w:tc>
          <w:tcPr>
            <w:tcW w:type="dxa" w:w="1656"/>
          </w:tcPr>
          <w:p>
            <w:r>
              <w:t>398.6</w:t>
            </w:r>
          </w:p>
        </w:tc>
        <w:tc>
          <w:tcPr>
            <w:tcW w:type="dxa" w:w="1656"/>
          </w:tcPr>
          <w:p>
            <w:r>
              <w:t>1394.5</w:t>
            </w:r>
          </w:p>
        </w:tc>
        <w:tc>
          <w:tcPr>
            <w:tcW w:type="dxa" w:w="1656"/>
          </w:tcPr>
          <w:p>
            <w:r>
              <w:t>2279.7</w:t>
            </w:r>
          </w:p>
        </w:tc>
        <w:tc>
          <w:tcPr>
            <w:tcW w:type="dxa" w:w="1656"/>
          </w:tcPr>
          <w:p>
            <w:r>
              <w:t>8684.8</w:t>
            </w:r>
          </w:p>
        </w:tc>
      </w:tr>
    </w:tbl>
    <w:p>
      <w:r>
        <w:t>Tenure has a mean of 32.37 months, while MonthlyCharges has a mean of 64.76. TotalCharges has a mean of 2,279.7. The difference between the mean and median for TotalCharges indicates a right-skewed distribution, which is reasonable because customers with longer tenure can accumulate substantially higher total charges.</w:t>
      </w:r>
    </w:p>
    <w:p>
      <w:pPr>
        <w:pStyle w:val="Heading1"/>
      </w:pPr>
      <w:r>
        <w:t>5. Outlier Detection</w:t>
      </w:r>
    </w:p>
    <w:p>
      <w:pPr>
        <w:ind w:left="360"/>
      </w:pPr>
      <w:r>
        <w:rPr>
          <w:rFonts w:ascii="Consolas" w:hAnsi="Consolas"/>
          <w:sz w:val="18"/>
        </w:rPr>
        <w:t>boxplot(telco$MonthlyCharges, main="Monthly Charges - Outlier Detection", ylab="Monthly Charges")</w:t>
      </w:r>
    </w:p>
    <w:p>
      <w:pPr>
        <w:ind w:left="360"/>
      </w:pPr>
      <w:r>
        <w:rPr>
          <w:rFonts w:ascii="Consolas" w:hAnsi="Consolas"/>
          <w:sz w:val="18"/>
        </w:rPr>
        <w:t>boxplot(telco$TotalCharges, main="Total Charges - Outlier Detection", ylab="Total Charges")</w:t>
      </w:r>
    </w:p>
    <w:p>
      <w:pPr>
        <w:ind w:left="360"/>
      </w:pPr>
      <w:r>
        <w:rPr>
          <w:rFonts w:ascii="Consolas" w:hAnsi="Consolas"/>
          <w:sz w:val="18"/>
        </w:rPr>
        <w:t>boxplot.stats(telco$MonthlyCharges)$out</w:t>
      </w:r>
    </w:p>
    <w:p>
      <w:pPr>
        <w:ind w:left="360"/>
      </w:pPr>
      <w:r>
        <w:rPr>
          <w:rFonts w:ascii="Consolas" w:hAnsi="Consolas"/>
          <w:sz w:val="18"/>
        </w:rPr>
        <w:t>boxplot.stats(telco$TotalCharges)$out</w:t>
      </w:r>
    </w:p>
    <w:p>
      <w:r>
        <w:t>Boxplots were used to visually inspect MonthlyCharges and TotalCharges for potential outliers. The boxplot statistics returned numeric(0) for both variables, indicating that no observations were flagged as outliers by the default boxplot rule. Therefore, no outlier removal was performed.</w:t>
      </w:r>
    </w:p>
    <w:p>
      <w:pPr>
        <w:pStyle w:val="Heading1"/>
      </w:pPr>
      <w:r>
        <w:t>6. Normalization</w:t>
      </w:r>
    </w:p>
    <w:p>
      <w:pPr>
        <w:ind w:left="360"/>
      </w:pPr>
      <w:r>
        <w:rPr>
          <w:rFonts w:ascii="Consolas" w:hAnsi="Consolas"/>
          <w:sz w:val="18"/>
        </w:rPr>
        <w:t>telco$MonthlyCharges_Normalized &lt;-</w:t>
        <w:br/>
        <w:t xml:space="preserve">  (telco$MonthlyCharges - min(telco$MonthlyCharges)) /</w:t>
        <w:br/>
        <w:t xml:space="preserve">  (max(telco$MonthlyCharges) - min(telco$MonthlyCharges))</w:t>
        <w:br/>
        <w:br/>
        <w:t>telco$TotalCharges_Normalized &lt;-</w:t>
        <w:br/>
        <w:t xml:space="preserve">  (telco$TotalCharges - min(telco$TotalCharges)) /</w:t>
        <w:br/>
        <w:t xml:space="preserve">  (max(telco$TotalCharges) - min(telco$TotalCharges))</w:t>
      </w:r>
    </w:p>
    <w:p>
      <w:r>
        <w:t>Min-max normalization was applied to MonthlyCharges and TotalCharges. The transformation rescales each variable to a range from 0 to 1, making the variables easier to compare on a common scale without changing their relative ordering.</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Variable</w:t>
            </w:r>
          </w:p>
        </w:tc>
        <w:tc>
          <w:tcPr>
            <w:tcW w:type="dxa" w:w="1987"/>
          </w:tcPr>
          <w:p>
            <w:r>
              <w:t>Min</w:t>
            </w:r>
          </w:p>
        </w:tc>
        <w:tc>
          <w:tcPr>
            <w:tcW w:type="dxa" w:w="1987"/>
          </w:tcPr>
          <w:p>
            <w:r>
              <w:t>1st Quartile</w:t>
            </w:r>
          </w:p>
        </w:tc>
        <w:tc>
          <w:tcPr>
            <w:tcW w:type="dxa" w:w="1987"/>
          </w:tcPr>
          <w:p>
            <w:r>
              <w:t>Median</w:t>
            </w:r>
          </w:p>
        </w:tc>
        <w:tc>
          <w:tcPr>
            <w:tcW w:type="dxa" w:w="1987"/>
          </w:tcPr>
          <w:p>
            <w:r>
              <w:t>Max</w:t>
            </w:r>
          </w:p>
        </w:tc>
      </w:tr>
      <w:tr>
        <w:tc>
          <w:tcPr>
            <w:tcW w:type="dxa" w:w="1987"/>
          </w:tcPr>
          <w:p>
            <w:r>
              <w:t>MonthlyCharges_Normalized</w:t>
            </w:r>
          </w:p>
        </w:tc>
        <w:tc>
          <w:tcPr>
            <w:tcW w:type="dxa" w:w="1987"/>
          </w:tcPr>
          <w:p>
            <w:r>
              <w:t>0.0000</w:t>
            </w:r>
          </w:p>
        </w:tc>
        <w:tc>
          <w:tcPr>
            <w:tcW w:type="dxa" w:w="1987"/>
          </w:tcPr>
          <w:p>
            <w:r>
              <w:t>0.1716</w:t>
            </w:r>
          </w:p>
        </w:tc>
        <w:tc>
          <w:tcPr>
            <w:tcW w:type="dxa" w:w="1987"/>
          </w:tcPr>
          <w:p>
            <w:r>
              <w:t>0.5184</w:t>
            </w:r>
          </w:p>
        </w:tc>
        <w:tc>
          <w:tcPr>
            <w:tcW w:type="dxa" w:w="1987"/>
          </w:tcPr>
          <w:p>
            <w:r>
              <w:t>1.0000</w:t>
            </w:r>
          </w:p>
        </w:tc>
      </w:tr>
      <w:tr>
        <w:tc>
          <w:tcPr>
            <w:tcW w:type="dxa" w:w="1987"/>
          </w:tcPr>
          <w:p>
            <w:r>
              <w:t>TotalCharges_Normalized</w:t>
            </w:r>
          </w:p>
        </w:tc>
        <w:tc>
          <w:tcPr>
            <w:tcW w:type="dxa" w:w="1987"/>
          </w:tcPr>
          <w:p>
            <w:r>
              <w:t>0.0000</w:t>
            </w:r>
          </w:p>
        </w:tc>
        <w:tc>
          <w:tcPr>
            <w:tcW w:type="dxa" w:w="1987"/>
          </w:tcPr>
          <w:p>
            <w:r>
              <w:t>0.04589</w:t>
            </w:r>
          </w:p>
        </w:tc>
        <w:tc>
          <w:tcPr>
            <w:tcW w:type="dxa" w:w="1987"/>
          </w:tcPr>
          <w:p>
            <w:r>
              <w:t>0.16057</w:t>
            </w:r>
          </w:p>
        </w:tc>
        <w:tc>
          <w:tcPr>
            <w:tcW w:type="dxa" w:w="1987"/>
          </w:tcPr>
          <w:p>
            <w:r>
              <w:t>1.0000</w:t>
            </w:r>
          </w:p>
        </w:tc>
      </w:tr>
    </w:tbl>
    <w:p>
      <w:pPr>
        <w:pStyle w:val="Heading1"/>
      </w:pPr>
      <w:r>
        <w:t>7. Categorical Encoding</w:t>
      </w:r>
    </w:p>
    <w:p>
      <w:pPr>
        <w:ind w:left="360"/>
      </w:pPr>
      <w:r>
        <w:rPr>
          <w:rFonts w:ascii="Consolas" w:hAnsi="Consolas"/>
          <w:sz w:val="18"/>
        </w:rPr>
        <w:t>telco$Gender_Encoded &lt;- as.numeric(factor(telco$Gender)) - 1</w:t>
        <w:br/>
        <w:t>telco$Partner_Encoded &lt;- as.numeric(factor(telco$Partner)) - 1</w:t>
        <w:br/>
        <w:t>telco$Dependents_Encoded &lt;- as.numeric(factor(telco$Dependents)) - 1</w:t>
        <w:br/>
        <w:t>telco$Churn_Encoded &lt;- as.numeric(factor(telco$Churn)) - 1</w:t>
      </w:r>
    </w:p>
    <w:p>
      <w:r>
        <w:t>Selected binary categorical variables were encoded numerically using factor conversion. This created 0/1 representations that can be used by statistical and machine-learning methods that require numerical inputs.</w:t>
      </w:r>
    </w:p>
    <w:p>
      <w:pPr>
        <w:pStyle w:val="Heading1"/>
      </w:pPr>
      <w:r>
        <w:t>8. Churn Distribution</w:t>
      </w:r>
    </w:p>
    <w:p>
      <w:pPr>
        <w:ind w:left="360"/>
      </w:pPr>
      <w:r>
        <w:rPr>
          <w:rFonts w:ascii="Consolas" w:hAnsi="Consolas"/>
          <w:sz w:val="18"/>
        </w:rPr>
        <w:t>table(telco$Churn)</w:t>
      </w:r>
    </w:p>
    <w:p>
      <w:pPr>
        <w:ind w:left="360"/>
      </w:pPr>
      <w:r>
        <w:rPr>
          <w:rFonts w:ascii="Consolas" w:hAnsi="Consolas"/>
          <w:sz w:val="18"/>
        </w:rPr>
        <w:t>prop.table(table(telco$Churn)) * 100</w:t>
      </w:r>
    </w:p>
    <w:tbl>
      <w:tblPr>
        <w:tblStyle w:val="TableGrid"/>
        <w:tblW w:type="auto" w:w="0"/>
        <w:tblLook w:firstColumn="1" w:firstRow="1" w:lastColumn="0" w:lastRow="0" w:noHBand="0" w:noVBand="1" w:val="04A0"/>
      </w:tblPr>
      <w:tblGrid>
        <w:gridCol w:w="3312"/>
        <w:gridCol w:w="3312"/>
        <w:gridCol w:w="3312"/>
      </w:tblGrid>
      <w:tr>
        <w:tc>
          <w:tcPr>
            <w:tcW w:type="dxa" w:w="3312"/>
          </w:tcPr>
          <w:p>
            <w:r>
              <w:t>Churn Status</w:t>
            </w:r>
          </w:p>
        </w:tc>
        <w:tc>
          <w:tcPr>
            <w:tcW w:type="dxa" w:w="3312"/>
          </w:tcPr>
          <w:p>
            <w:r>
              <w:t>Customers</w:t>
            </w:r>
          </w:p>
        </w:tc>
        <w:tc>
          <w:tcPr>
            <w:tcW w:type="dxa" w:w="3312"/>
          </w:tcPr>
          <w:p>
            <w:r>
              <w:t>Percentage</w:t>
            </w:r>
          </w:p>
        </w:tc>
      </w:tr>
      <w:tr>
        <w:tc>
          <w:tcPr>
            <w:tcW w:type="dxa" w:w="3312"/>
          </w:tcPr>
          <w:p>
            <w:r>
              <w:t>No</w:t>
            </w:r>
          </w:p>
        </w:tc>
        <w:tc>
          <w:tcPr>
            <w:tcW w:type="dxa" w:w="3312"/>
          </w:tcPr>
          <w:p>
            <w:r>
              <w:t>5174</w:t>
            </w:r>
          </w:p>
        </w:tc>
        <w:tc>
          <w:tcPr>
            <w:tcW w:type="dxa" w:w="3312"/>
          </w:tcPr>
          <w:p>
            <w:r>
              <w:t>73.46%</w:t>
            </w:r>
          </w:p>
        </w:tc>
      </w:tr>
      <w:tr>
        <w:tc>
          <w:tcPr>
            <w:tcW w:type="dxa" w:w="3312"/>
          </w:tcPr>
          <w:p>
            <w:r>
              <w:t>Yes</w:t>
            </w:r>
          </w:p>
        </w:tc>
        <w:tc>
          <w:tcPr>
            <w:tcW w:type="dxa" w:w="3312"/>
          </w:tcPr>
          <w:p>
            <w:r>
              <w:t>1869</w:t>
            </w:r>
          </w:p>
        </w:tc>
        <w:tc>
          <w:tcPr>
            <w:tcW w:type="dxa" w:w="3312"/>
          </w:tcPr>
          <w:p>
            <w:r>
              <w:t>26.54%</w:t>
            </w:r>
          </w:p>
        </w:tc>
      </w:tr>
    </w:tbl>
    <w:p>
      <w:r>
        <w:t>Most customers did not churn: 73.46% were classified as No, while 26.54% were classified as Yes. This shows that the target variable is not evenly distributed, with non-churn customers forming the majority.</w:t>
      </w:r>
    </w:p>
    <w:p>
      <w:pPr>
        <w:pStyle w:val="Heading1"/>
      </w:pPr>
      <w:r>
        <w:t>9. Correlation Analysis</w:t>
      </w:r>
    </w:p>
    <w:p>
      <w:pPr>
        <w:ind w:left="360"/>
      </w:pPr>
      <w:r>
        <w:rPr>
          <w:rFonts w:ascii="Consolas" w:hAnsi="Consolas"/>
          <w:sz w:val="18"/>
        </w:rPr>
        <w:t>cor(telco[, c("tenure", "MonthlyCharges", "TotalCharges")], use="complete.obs")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p>
        </w:tc>
        <w:tc>
          <w:tcPr>
            <w:tcW w:type="dxa" w:w="2484"/>
          </w:tcPr>
          <w:p>
            <w:r>
              <w:t>Tenure</w:t>
            </w:r>
          </w:p>
        </w:tc>
        <w:tc>
          <w:tcPr>
            <w:tcW w:type="dxa" w:w="2484"/>
          </w:tcPr>
          <w:p>
            <w:r>
              <w:t>MonthlyCharges</w:t>
            </w:r>
          </w:p>
        </w:tc>
        <w:tc>
          <w:tcPr>
            <w:tcW w:type="dxa" w:w="2484"/>
          </w:tcPr>
          <w:p>
            <w:r>
              <w:t>TotalCharges</w:t>
            </w:r>
          </w:p>
        </w:tc>
      </w:tr>
      <w:tr>
        <w:tc>
          <w:tcPr>
            <w:tcW w:type="dxa" w:w="2484"/>
          </w:tcPr>
          <w:p>
            <w:r>
              <w:t>Tenure</w:t>
            </w:r>
          </w:p>
        </w:tc>
        <w:tc>
          <w:tcPr>
            <w:tcW w:type="dxa" w:w="2484"/>
          </w:tcPr>
          <w:p>
            <w:r>
              <w:t>1.0000</w:t>
            </w:r>
          </w:p>
        </w:tc>
        <w:tc>
          <w:tcPr>
            <w:tcW w:type="dxa" w:w="2484"/>
          </w:tcPr>
          <w:p>
            <w:r>
              <w:t>0.2479</w:t>
            </w:r>
          </w:p>
        </w:tc>
        <w:tc>
          <w:tcPr>
            <w:tcW w:type="dxa" w:w="2484"/>
          </w:tcPr>
          <w:p>
            <w:r>
              <w:t>0.8262</w:t>
            </w:r>
          </w:p>
        </w:tc>
      </w:tr>
      <w:tr>
        <w:tc>
          <w:tcPr>
            <w:tcW w:type="dxa" w:w="2484"/>
          </w:tcPr>
          <w:p>
            <w:r>
              <w:t>MonthlyCharges</w:t>
            </w:r>
          </w:p>
        </w:tc>
        <w:tc>
          <w:tcPr>
            <w:tcW w:type="dxa" w:w="2484"/>
          </w:tcPr>
          <w:p>
            <w:r>
              <w:t>0.2479</w:t>
            </w:r>
          </w:p>
        </w:tc>
        <w:tc>
          <w:tcPr>
            <w:tcW w:type="dxa" w:w="2484"/>
          </w:tcPr>
          <w:p>
            <w:r>
              <w:t>1.0000</w:t>
            </w:r>
          </w:p>
        </w:tc>
        <w:tc>
          <w:tcPr>
            <w:tcW w:type="dxa" w:w="2484"/>
          </w:tcPr>
          <w:p>
            <w:r>
              <w:t>0.6512</w:t>
            </w:r>
          </w:p>
        </w:tc>
      </w:tr>
      <w:tr>
        <w:tc>
          <w:tcPr>
            <w:tcW w:type="dxa" w:w="2484"/>
          </w:tcPr>
          <w:p>
            <w:r>
              <w:t>TotalCharges</w:t>
            </w:r>
          </w:p>
        </w:tc>
        <w:tc>
          <w:tcPr>
            <w:tcW w:type="dxa" w:w="2484"/>
          </w:tcPr>
          <w:p>
            <w:r>
              <w:t>0.8262</w:t>
            </w:r>
          </w:p>
        </w:tc>
        <w:tc>
          <w:tcPr>
            <w:tcW w:type="dxa" w:w="2484"/>
          </w:tcPr>
          <w:p>
            <w:r>
              <w:t>0.6512</w:t>
            </w:r>
          </w:p>
        </w:tc>
        <w:tc>
          <w:tcPr>
            <w:tcW w:type="dxa" w:w="2484"/>
          </w:tcPr>
          <w:p>
            <w:r>
              <w:t>1.0000</w:t>
            </w:r>
          </w:p>
        </w:tc>
      </w:tr>
    </w:tbl>
    <w:p>
      <w:r>
        <w:t>Tenure and TotalCharges show a strong positive correlation of approximately 0.826. This is expected because customers who remain with the company for longer periods generally accumulate more total charges. MonthlyCharges has a moderate positive correlation with TotalCharges (approximately 0.651).</w:t>
      </w:r>
    </w:p>
    <w:p>
      <w:pPr>
        <w:pStyle w:val="Heading1"/>
      </w:pPr>
      <w:r>
        <w:t>10. Churn-Based Preliminary Analysis</w:t>
      </w:r>
    </w:p>
    <w:p>
      <w:pPr>
        <w:ind w:left="360"/>
      </w:pPr>
      <w:r>
        <w:rPr>
          <w:rFonts w:ascii="Consolas" w:hAnsi="Consolas"/>
          <w:sz w:val="18"/>
        </w:rPr>
        <w:t>aggregate(tenure ~ Churn, data = telco, mean)</w:t>
      </w:r>
    </w:p>
    <w:p>
      <w:pPr>
        <w:ind w:left="360"/>
      </w:pPr>
      <w:r>
        <w:rPr>
          <w:rFonts w:ascii="Consolas" w:hAnsi="Consolas"/>
          <w:sz w:val="18"/>
        </w:rPr>
        <w:t>aggregate(MonthlyCharges ~ Churn, data = telco, mean)</w:t>
      </w:r>
    </w:p>
    <w:p>
      <w:pPr>
        <w:ind w:left="360"/>
      </w:pPr>
      <w:r>
        <w:rPr>
          <w:rFonts w:ascii="Consolas" w:hAnsi="Consolas"/>
          <w:sz w:val="18"/>
        </w:rPr>
        <w:t>aggregate(TotalCharges ~ Churn, data = telco, mean)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Metric</w:t>
            </w:r>
          </w:p>
        </w:tc>
        <w:tc>
          <w:tcPr>
            <w:tcW w:type="dxa" w:w="2484"/>
          </w:tcPr>
          <w:p>
            <w:r>
              <w:t>Churn = No</w:t>
            </w:r>
          </w:p>
        </w:tc>
        <w:tc>
          <w:tcPr>
            <w:tcW w:type="dxa" w:w="2484"/>
          </w:tcPr>
          <w:p>
            <w:r>
              <w:t>Churn = Yes</w:t>
            </w:r>
          </w:p>
        </w:tc>
        <w:tc>
          <w:tcPr>
            <w:tcW w:type="dxa" w:w="2484"/>
          </w:tcPr>
          <w:p>
            <w:r>
              <w:t>Observation</w:t>
            </w:r>
          </w:p>
        </w:tc>
      </w:tr>
      <w:tr>
        <w:tc>
          <w:tcPr>
            <w:tcW w:type="dxa" w:w="2484"/>
          </w:tcPr>
          <w:p>
            <w:r>
              <w:t>Average Tenure</w:t>
            </w:r>
          </w:p>
        </w:tc>
        <w:tc>
          <w:tcPr>
            <w:tcW w:type="dxa" w:w="2484"/>
          </w:tcPr>
          <w:p>
            <w:r>
              <w:t>37.57 months</w:t>
            </w:r>
          </w:p>
        </w:tc>
        <w:tc>
          <w:tcPr>
            <w:tcW w:type="dxa" w:w="2484"/>
          </w:tcPr>
          <w:p>
            <w:r>
              <w:t>17.98 months</w:t>
            </w:r>
          </w:p>
        </w:tc>
        <w:tc>
          <w:tcPr>
            <w:tcW w:type="dxa" w:w="2484"/>
          </w:tcPr>
          <w:p>
            <w:r>
              <w:t>Churned customers have much shorter tenure.</w:t>
            </w:r>
          </w:p>
        </w:tc>
      </w:tr>
      <w:tr>
        <w:tc>
          <w:tcPr>
            <w:tcW w:type="dxa" w:w="2484"/>
          </w:tcPr>
          <w:p>
            <w:r>
              <w:t>Average Monthly Charges</w:t>
            </w:r>
          </w:p>
        </w:tc>
        <w:tc>
          <w:tcPr>
            <w:tcW w:type="dxa" w:w="2484"/>
          </w:tcPr>
          <w:p>
            <w:r>
              <w:t>61.27</w:t>
            </w:r>
          </w:p>
        </w:tc>
        <w:tc>
          <w:tcPr>
            <w:tcW w:type="dxa" w:w="2484"/>
          </w:tcPr>
          <w:p>
            <w:r>
              <w:t>74.44</w:t>
            </w:r>
          </w:p>
        </w:tc>
        <w:tc>
          <w:tcPr>
            <w:tcW w:type="dxa" w:w="2484"/>
          </w:tcPr>
          <w:p>
            <w:r>
              <w:t>Churned customers have higher monthly charges.</w:t>
            </w:r>
          </w:p>
        </w:tc>
      </w:tr>
      <w:tr>
        <w:tc>
          <w:tcPr>
            <w:tcW w:type="dxa" w:w="2484"/>
          </w:tcPr>
          <w:p>
            <w:r>
              <w:t>Average Total Charges</w:t>
            </w:r>
          </w:p>
        </w:tc>
        <w:tc>
          <w:tcPr>
            <w:tcW w:type="dxa" w:w="2484"/>
          </w:tcPr>
          <w:p>
            <w:r>
              <w:t>2549.91</w:t>
            </w:r>
          </w:p>
        </w:tc>
        <w:tc>
          <w:tcPr>
            <w:tcW w:type="dxa" w:w="2484"/>
          </w:tcPr>
          <w:p>
            <w:r>
              <w:t>1531.80</w:t>
            </w:r>
          </w:p>
        </w:tc>
        <w:tc>
          <w:tcPr>
            <w:tcW w:type="dxa" w:w="2484"/>
          </w:tcPr>
          <w:p>
            <w:r>
              <w:t>Non-churn customers have higher accumulated charges.</w:t>
            </w:r>
          </w:p>
        </w:tc>
      </w:tr>
    </w:tbl>
    <w:p>
      <w:pPr>
        <w:pStyle w:val="Heading1"/>
      </w:pPr>
      <w:r>
        <w:t>11. Initial Insights</w:t>
      </w:r>
    </w:p>
    <w:p>
      <w:pPr>
        <w:pStyle w:val="ListBullet"/>
      </w:pPr>
      <w:r>
        <w:t>The dataset contains 7,043 customer records and 22 variables.</w:t>
      </w:r>
    </w:p>
    <w:p>
      <w:pPr>
        <w:pStyle w:val="ListBullet"/>
      </w:pPr>
      <w:r>
        <w:t>No missing values or duplicate rows were found in the working dataset.</w:t>
      </w:r>
    </w:p>
    <w:p>
      <w:pPr>
        <w:pStyle w:val="ListBullet"/>
      </w:pPr>
      <w:r>
        <w:t>Approximately 26.54% of customers have churned.</w:t>
      </w:r>
    </w:p>
    <w:p>
      <w:pPr>
        <w:pStyle w:val="ListBullet"/>
      </w:pPr>
      <w:r>
        <w:t>Churned customers have considerably lower average tenure (17.98 months) than non-churn customers (37.57 months).</w:t>
      </w:r>
    </w:p>
    <w:p>
      <w:pPr>
        <w:pStyle w:val="ListBullet"/>
      </w:pPr>
      <w:r>
        <w:t>Churned customers have higher average monthly charges (74.44) compared with non-churn customers (61.27).</w:t>
      </w:r>
    </w:p>
    <w:p>
      <w:pPr>
        <w:pStyle w:val="ListBullet"/>
      </w:pPr>
      <w:r>
        <w:t>Tenure has a strong positive relationship with TotalCharges (correlation ≈ 0.826).</w:t>
      </w:r>
    </w:p>
    <w:p>
      <w:pPr>
        <w:pStyle w:val="ListBullet"/>
      </w:pPr>
      <w:r>
        <w:t>No outliers were flagged for MonthlyCharges or TotalCharges using the default boxplot rule.</w:t>
      </w:r>
    </w:p>
    <w:p>
      <w:pPr>
        <w:pStyle w:val="ListBullet"/>
      </w:pPr>
      <w:r>
        <w:t>Min-max normalization successfully transformed MonthlyCharges and TotalCharges to a 0–1 scale.</w:t>
      </w:r>
    </w:p>
    <w:p>
      <w:pPr>
        <w:pStyle w:val="Heading1"/>
      </w:pPr>
      <w:r>
        <w:t>12. Conclusion</w:t>
      </w:r>
    </w:p>
    <w:p>
      <w:r>
        <w:t>The Week 1 analysis successfully completed the required data inspection, cleaning checks, preprocessing, and preliminary exploratory analysis using R. The dataset was verified for missing values and duplicate records, numerical variables were summarized and normalized, selected categorical variables were encoded, and boxplots were used for outlier detection. The exploratory results show that customer churn is associated with shorter tenure and higher monthly charges in this dataset. The strong relationship between tenure and total charges also provides an important preliminary insight for future analysis. These findings establish a clean and structured starting point for deeper customer churn analysis in later weeks.</w:t>
      </w:r>
    </w:p>
    <w:p>
      <w:pPr>
        <w:pStyle w:val="Heading1"/>
      </w:pPr>
      <w:r>
        <w:t>13. Key R Code Used</w:t>
      </w:r>
    </w:p>
    <w:p>
      <w:pPr>
        <w:ind w:left="360"/>
      </w:pPr>
      <w:r>
        <w:rPr>
          <w:rFonts w:ascii="Consolas" w:hAnsi="Consolas"/>
          <w:sz w:val="18"/>
        </w:rPr>
        <w:t>summary(telco)</w:t>
        <w:br/>
        <w:t>colSums(is.na(telco))</w:t>
        <w:br/>
        <w:t>sum(duplicated(telco))</w:t>
        <w:br/>
        <w:t>boxplot(telco$MonthlyCharges)</w:t>
        <w:br/>
        <w:t>boxplot(telco$TotalCharges)</w:t>
        <w:br/>
        <w:t>cor(telco[, c("tenure","MonthlyCharges","TotalCharges")],</w:t>
        <w:br/>
        <w:t xml:space="preserve">    use = "complete.obs")</w:t>
        <w:br/>
        <w:t>aggregate(tenure ~ Churn, data = telco, mean)</w:t>
        <w:br/>
        <w:t>aggregate(MonthlyCharges ~ Churn, data = telco, mean)</w:t>
        <w:br/>
        <w:t>aggregate(TotalCharges ~ Churn, data = telco, mean)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