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3A5C"/>
          <w:sz w:val="40"/>
          <w:szCs w:val="40"/>
        </w:rPr>
        <w:t xml:space="preserve">RETENTION PLAYBOOK</w:t>
      </w:r>
    </w:p>
    <w:p>
      <w:pPr>
        <w:spacing w:after="40"/>
      </w:pPr>
      <w:r>
        <w:rPr>
          <w:b/>
          <w:bCs/>
          <w:color w:val="4682B4"/>
          <w:sz w:val="23"/>
          <w:szCs w:val="23"/>
        </w:rPr>
        <w:t xml:space="preserve">Decoding Customer Value: A Data-Backed Retention Strategy</w:t>
      </w:r>
    </w:p>
    <w:p>
      <w:pPr>
        <w:pBdr>
          <w:bottom w:val="single" w:color="1B3A5C" w:sz="10" w:space="6"/>
        </w:pBdr>
        <w:spacing w:after="260"/>
      </w:pPr>
      <w:r>
        <w:rPr>
          <w:i/>
          <w:iCs/>
          <w:color w:val="595959"/>
          <w:sz w:val="18"/>
          <w:szCs w:val="18"/>
        </w:rPr>
        <w:t xml:space="preserve">Prepared for the Founding Team  |  D2C Fashion Brand  |  Based on transactional &amp; behavioral data, n = 3,900 customers</w:t>
      </w:r>
    </w:p>
    <w:p>
      <w:pPr>
        <w:pStyle w:val="Heading1"/>
        <w:pBdr>
          <w:bottom w:val="single" w:color="1B3A5C" w:sz="6" w:space="4"/>
        </w:pBdr>
        <w:spacing w:after="140" w:before="320"/>
      </w:pPr>
      <w:r>
        <w:rPr>
          <w:b/>
          <w:bCs/>
          <w:color w:val="1B3A5C"/>
          <w:sz w:val="26"/>
          <w:szCs w:val="26"/>
        </w:rPr>
        <w:t xml:space="preserve">Overall Verdict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Is the brand building genuine loyalty, or is it reliant on promotions? The answer is both, but unevenly. Value tier — not age, product category, satisfaction, or payment method — is the only variable in the dataset that meaningfully predicts promotional dependency.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Revenue is concentrated in a promo-reliant segment: High Value customers make up 21% of the customer base but generate 44% of total revenue, and 53% of them are promo-dependent. Critically, this same segment carries the lowest retention risk in the entire customer base. High reliance paired with low risk is exactly the profile where a controlled promotional pullback is worth testing.</w:t>
      </w:r>
    </w:p>
    <w:p>
      <w:pPr>
        <w:pStyle w:val="Heading1"/>
        <w:pBdr>
          <w:bottom w:val="single" w:color="1B3A5C" w:sz="6" w:space="4"/>
        </w:pBdr>
        <w:spacing w:after="140" w:before="320"/>
      </w:pPr>
      <w:r>
        <w:rPr>
          <w:b/>
          <w:bCs/>
          <w:color w:val="1B3A5C"/>
          <w:sz w:val="26"/>
          <w:szCs w:val="26"/>
        </w:rPr>
        <w:t xml:space="preserve">Key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shd w:fill="1B3A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360"/>
            <w:shd w:fill="1B3A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600"/>
            <w:shd w:fill="1B3A5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Value Tier</w:t>
            </w:r>
          </w:p>
        </w:tc>
        <w:tc>
          <w:tcPr>
            <w:tcW w:type="dxa" w:w="436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Promo dependency ranges 33% (Low) → 43% (Medium) → 53% (High) — an 18-point spread. Retention risk moves inversely: 1.54% (Low) → 1.00% (Medium) → 0.46% (High).</w:t>
            </w:r>
          </w:p>
        </w:tc>
        <w:tc>
          <w:tcPr>
            <w:tcW w:type="dxa" w:w="2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Strong differentiator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 Group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Promo dependency by value tier is nearly identical across Adult, Young Adult, and Mature (all within 1–2 points).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meaningful effect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436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Avg previous purchases range 24.96 (Outerwear) to 25.73 (Accessories) — under 3% variation.</w:t>
            </w:r>
          </w:p>
        </w:tc>
        <w:tc>
          <w:tcPr>
            <w:tcW w:type="dxa" w:w="2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a differentiator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Satisfaction (Review Rating)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Avg rating ranges 3.73–3.78 on a 5-point scale across all value tiers — under 1.5% variation.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a differentiator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436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meaningful variation in spend or promo dependency across payment methods.</w:t>
            </w:r>
          </w:p>
        </w:tc>
        <w:tc>
          <w:tcPr>
            <w:tcW w:type="dxa" w:w="2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a differentiator</w:t>
            </w:r>
          </w:p>
        </w:tc>
      </w:tr>
    </w:tbl>
    <w:p>
      <w:pPr>
        <w:spacing w:after="120" w:line="276"/>
      </w:pPr>
      <w:r>
        <w:rPr>
          <w:color w:val="222222"/>
          <w:sz w:val="21"/>
          <w:szCs w:val="21"/>
        </w:rPr>
        <w:t xml:space="preserve"/>
      </w:r>
    </w:p>
    <w:p>
      <w:pPr>
        <w:spacing w:after="120" w:line="276"/>
      </w:pPr>
      <w:r>
        <w:rPr>
          <w:i/>
          <w:iCs/>
          <w:color w:val="595959"/>
          <w:sz w:val="19"/>
          <w:szCs w:val="19"/>
        </w:rPr>
        <w:t xml:space="preserve">Age, category, satisfaction, and payment method were each tested as potential segmentation variables and ruled out — this is stated explicitly rather than omitted, to demonstrate the analysis was thorough rather than shaped to fit a predetermined conclusion.</w:t>
      </w:r>
    </w:p>
    <w:p>
      <w:pPr>
        <w:pStyle w:val="Heading1"/>
        <w:pBdr>
          <w:bottom w:val="single" w:color="1B3A5C" w:sz="6" w:space="4"/>
        </w:pBdr>
        <w:spacing w:after="140" w:before="320"/>
      </w:pPr>
      <w:r>
        <w:rPr>
          <w:b/>
          <w:bCs/>
          <w:color w:val="1B3A5C"/>
          <w:sz w:val="26"/>
          <w:szCs w:val="26"/>
        </w:rPr>
        <w:t xml:space="preserve">1. Promotional Sunset Plan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Segment: </w:t>
      </w:r>
      <w:r>
        <w:rPr>
          <w:color w:val="222222"/>
          <w:sz w:val="21"/>
          <w:szCs w:val="21"/>
        </w:rPr>
        <w:t xml:space="preserve">High Value tier — top third by spend, ~1,300 customers, currently 52.92% promo-dependent.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Trigger behavior: </w:t>
      </w:r>
      <w:r>
        <w:rPr>
          <w:color w:val="222222"/>
          <w:sz w:val="21"/>
          <w:szCs w:val="21"/>
        </w:rPr>
        <w:t xml:space="preserve">Customers must satisfy both value_tier = High Value AND retention_risk = Low Risk to enter the pilot. Restricting to this intersection ensures the brand is not testing a discount pullback on any customer already showing churn warning signs.</w:t>
      </w:r>
    </w:p>
    <w:p>
      <w:pPr>
        <w:spacing w:after="60"/>
      </w:pPr>
      <w:r>
        <w:rPr>
          <w:b/>
          <w:bCs/>
          <w:color w:val="222222"/>
          <w:sz w:val="21"/>
          <w:szCs w:val="21"/>
        </w:rPr>
        <w:t xml:space="preserve">Rollout timeline (90 days, phased): 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Days 1–30: reduce promo-code eligibility/frequency by ~25% within the pilot segment; monitor weekly.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Days 31–60: if spend and repeat-purchase rate hold versus control, extend the reduction to ~50%.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Days 61–90: reassess full results; decide on permanent rollout, further reduction, or partial rollback.</w:t>
      </w:r>
    </w:p>
    <w:p>
      <w:pPr>
        <w:spacing w:after="60" w:before="100"/>
      </w:pPr>
      <w:r>
        <w:rPr>
          <w:b/>
          <w:bCs/>
          <w:color w:val="222222"/>
          <w:sz w:val="21"/>
          <w:szCs w:val="21"/>
        </w:rPr>
        <w:t xml:space="preserve">Metric tracked: </w:t>
      </w:r>
      <w:r>
        <w:rPr>
          <w:color w:val="222222"/>
          <w:sz w:val="21"/>
          <w:szCs w:val="21"/>
        </w:rPr>
        <w:t xml:space="preserve">Weekly average spend and purchase frequency within the pilot segment, benchmarked against a held-out control group of High Value customers kept on the current promo cadence. A drop of more than 5% in either metric relative to control triggers an immediate rollback to the prior discount level.</w:t>
      </w:r>
    </w:p>
    <w:p>
      <w:pPr>
        <w:spacing w:after="60" w:before="60"/>
      </w:pPr>
      <w:r>
        <w:rPr>
          <w:b/>
          <w:bCs/>
          <w:color w:val="222222"/>
          <w:sz w:val="21"/>
          <w:szCs w:val="21"/>
        </w:rPr>
        <w:t xml:space="preserve">Why this is safe to test: </w:t>
      </w:r>
      <w:r>
        <w:rPr>
          <w:color w:val="222222"/>
          <w:sz w:val="21"/>
          <w:szCs w:val="21"/>
        </w:rPr>
        <w:t xml:space="preserve">Satisfaction (3.78 avg rating) and retention risk (0.46%) are both already the best-in-class figures for this segment. Retention risk data shows no elevated churn signal for High Value customers relative to Low Value (0.46% vs. 1.54%) — while absolute rates are low across all tiers, this at minimum does not argue against testing a promo reduction here first.</w:t>
      </w:r>
    </w:p>
    <w:p>
      <w:pPr>
        <w:pStyle w:val="Heading1"/>
        <w:pBdr>
          <w:bottom w:val="single" w:color="1B3A5C" w:sz="6" w:space="4"/>
        </w:pBdr>
        <w:spacing w:after="140" w:before="320"/>
      </w:pPr>
      <w:r>
        <w:rPr>
          <w:b/>
          <w:bCs/>
          <w:color w:val="1B3A5C"/>
          <w:sz w:val="26"/>
          <w:szCs w:val="26"/>
        </w:rPr>
        <w:t xml:space="preserve">2. Ideal Customer Profile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The brand's most valuable customer is a High Value-tier shopper: top third by spend, contributing a disproportionate 44% of total revenue from just 21% of the customer base. They are more likely than average to be promo-dependent (53% vs. 33% for Low Value customers), but this reliance is not accompanied by elevated churn risk — if anything, this segment is the most stable in the entire customer base.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Age group, product category, payment method, and satisfaction level do not distinguish this customer from any other tier, meaning demographic- or category-based targeting will not effectively reach them. Spend-based and promo-behavior-based targeting is the only reliable lever for identifying and growing this segment.</w:t>
      </w:r>
    </w:p>
    <w:p>
      <w:pPr>
        <w:pStyle w:val="Heading1"/>
        <w:pBdr>
          <w:bottom w:val="single" w:color="1B3A5C" w:sz="6" w:space="4"/>
        </w:pBdr>
        <w:spacing w:after="140" w:before="320"/>
      </w:pPr>
      <w:r>
        <w:rPr>
          <w:b/>
          <w:bCs/>
          <w:color w:val="1B3A5C"/>
          <w:sz w:val="26"/>
          <w:szCs w:val="26"/>
        </w:rPr>
        <w:t xml:space="preserve">Recommendation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Pilot the promotional sunset plan on the High Value / Low Risk intersection before considering any broader rollout. Because category, satisfaction, age, and payment method carry no signal, marketing spend aimed at those levers should be redirected toward spend-based segmentation and promo-behavior monitoring — the two variables that actually explain differences in customer value and dependency in this dataset.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2026-08-22T11:25:56.376Z</dcterms:created>
  <dcterms:modified xsi:type="dcterms:W3CDTF">2026-08-22T11:25:56.388Z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