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" w:hAnsi="Arial" w:eastAsia="PingFang SC" w:cs="PingFang SC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" w:hAnsi="Arial" w:eastAsia="PingFang SC" w:cs="PingFang SC"/>
          <w:b/>
          <w:color w:val="0B2545"/>
          <w:sz w:val="54"/>
        </w:rPr>
        <w:t>中转注册、兑换与 API 密钥配置教程</w:t>
      </w:r>
    </w:p>
    <w:p>
      <w:pPr>
        <w:spacing w:after="1080"/>
        <w:jc w:val="center"/>
      </w:pPr>
      <w:r>
        <w:rPr>
          <w:rFonts w:ascii="Arial" w:hAnsi="Arial" w:eastAsia="PingFang SC" w:cs="PingFang SC"/>
          <w:color w:val="5F6368"/>
          <w:sz w:val="26"/>
        </w:rPr>
        <w:t>中转注册与密钥配置父教程</w:t>
      </w:r>
    </w:p>
    <w:p>
      <w:pPr>
        <w:spacing w:after="0"/>
        <w:jc w:val="center"/>
      </w:pPr>
      <w:r>
        <w:rPr>
          <w:rFonts w:ascii="Arial" w:hAnsi="Arial" w:eastAsia="PingFang SC" w:cs="PingFang SC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" w:hAnsi="Arial" w:eastAsia="PingFang SC" w:cs="PingFang SC"/>
          <w:b w:val="0"/>
        </w:rPr>
        <w:t>API base_url：</w:t>
      </w:r>
      <w:r>
        <w:rPr>
          <w:rFonts w:ascii="Menlo" w:hAnsi="Menlo" w:eastAsia="PingFang SC" w:cs="PingFang SC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" w:hAnsi="Arial" w:eastAsia="PingFang SC" w:cs="PingFang SC"/>
          <w:b w:val="0"/>
        </w:rPr>
        <w:t>本教程作为所有客户端配置教程的父文档，统一说明中转账户注册、权益兑换、API 密钥创建与分组选择。完成后，再阅读对应的子教程配置具体客户端。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注册中转账户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充值或兑换权益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创建 API 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选择正确分组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中转注册、兑换与 API 密钥配置流程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一、教程目录关系</w:t>
      </w:r>
    </w:p>
    <w:p>
      <w:pPr>
        <w:widowControl/>
      </w:pPr>
      <w:r>
        <w:rPr>
          <w:rFonts w:ascii="Arial" w:hAnsi="Arial" w:eastAsia="PingFang SC" w:cs="PingFang SC"/>
          <w:b w:val="0"/>
        </w:rPr>
        <w:t>本文档是父教程。以下配置文档均作为子教程，不再重复讲解注册、兑换和创建 API 密钥。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子教程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Codex API 登录对接教程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config.toml</w:t>
            </w:r>
            <w:r>
              <w:rPr>
                <w:rFonts w:ascii="Arial" w:hAnsi="Arial" w:eastAsia="PingFang SC" w:cs="PingFang SC"/>
                <w:b w:val="0"/>
              </w:rPr>
              <w:t xml:space="preserve"> /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auth.json</w:t>
            </w:r>
            <w:r>
              <w:rPr>
                <w:rFonts w:ascii="Arial" w:hAnsi="Arial" w:eastAsia="PingFang SC" w:cs="PingFang SC"/>
                <w:b w:val="0"/>
              </w:rPr>
              <w:t xml:space="preserve"> / API 登录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Claude Code 配置教程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settings.json</w:t>
            </w:r>
            <w:r>
              <w:rPr>
                <w:rFonts w:ascii="Arial" w:hAnsi="Arial" w:eastAsia="PingFang SC" w:cs="PingFang SC"/>
                <w:b w:val="0"/>
              </w:rPr>
              <w:t xml:space="preserve"> / 环境变量 / CLI 验证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Open Code 配置教程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opencode.json</w:t>
            </w:r>
            <w:r>
              <w:rPr>
                <w:rFonts w:ascii="Arial" w:hAnsi="Arial" w:eastAsia="PingFang SC" w:cs="PingFang SC"/>
                <w:b w:val="0"/>
              </w:rPr>
              <w:t xml:space="preserve"> /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/connect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Open Claw 配置教程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腾讯云在线配置 / 本地配置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移动端 Chatbox 配置教程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Chatbox / 手机配置 / 模型切换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Cherry Studio 图像生成教程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imagegen</w:t>
            </w:r>
            <w:r>
              <w:rPr>
                <w:rFonts w:ascii="Arial" w:hAnsi="Arial" w:eastAsia="PingFang SC" w:cs="PingFang SC"/>
                <w:b w:val="0"/>
              </w:rPr>
              <w:t xml:space="preserve"> /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gpt-image-2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 w:cs="PingFang SC"/>
          <w:b w:val="0"/>
        </w:rPr>
        <w:t>二、使用前说明</w:t>
      </w:r>
    </w:p>
    <w:p>
      <w:pPr>
        <w:widowControl/>
      </w:pPr>
      <w:r>
        <w:rPr>
          <w:rFonts w:ascii="Arial" w:hAnsi="Arial" w:eastAsia="PingFang SC" w:cs="PingFang SC"/>
          <w:b w:val="0"/>
        </w:rPr>
        <w:t>本教程适用于小铺购买的额度或订阅兑换码、站内充值或订阅。</w:t>
      </w:r>
    </w:p>
    <w:p>
      <w:pPr>
        <w:widowControl/>
      </w:pPr>
      <w:r>
        <w:rPr>
          <w:rFonts w:ascii="Arial" w:hAnsi="Arial" w:eastAsia="PingFang SC" w:cs="PingFang SC"/>
          <w:b w:val="0"/>
        </w:rPr>
        <w:t>API 密钥分组选择与计费模式：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计费模式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密钥分组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额度规则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订阅模式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选择相应订阅分组（订阅 xx 刀）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每天有固定额度，通常在每天 0 点后刷新。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额度模式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选择相应消耗额度的分组（OpenAI-Plus、Pro、Claude 等）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>调用时按实际消耗从网站账户余额中扣费。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" w:hAnsi="Arial" w:eastAsia="PingFang SC" w:cs="PingFang SC"/>
          <w:b w:val="0"/>
        </w:rPr>
        <w:t>需要购买兑换码时，可使用小铺卡密自助购买地址：</w:t>
      </w:r>
      <w:hyperlink r:id="rId11">
        <w:r>
          <w:rPr>
            <w:rFonts w:ascii="Arial" w:hAnsi="Arial" w:eastAsia="PingFang SC" w:cs="PingFang SC"/>
            <w:color w:val="0563C1"/>
            <w:u w:val="single"/>
          </w:rPr>
          <w:t>https://catfk.com/shop/92O8CR0C</w:t>
        </w:r>
      </w:hyperlink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07116"/>
            <wp:docPr id="1" name="Picture 1" descr="问题交流群二维码" title="问题交流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图：有任何问题可扫码加群，联系群主处理。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三、注册中转账户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浏览器打开中转注册页：</w:t>
      </w:r>
      <w:hyperlink r:id="rId13">
        <w:r>
          <w:rPr>
            <w:rFonts w:ascii="Arial" w:hAnsi="Arial" w:eastAsia="PingFang SC" w:cs="PingFang SC"/>
            <w:color w:val="0563C1"/>
            <w:u w:val="single"/>
          </w:rPr>
          <w:t>https://sakai.my/register</w:t>
        </w:r>
      </w:hyperlink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填写邮箱、获取验证码并设置密码。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输入验证码后完成账户创建。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237629"/>
            <wp:docPr id="2" name="Picture 2" descr="中转服务注册页面截图" title="中转服务注册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3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1：注册页面，输入邮箱、密码和验证码后创建账户。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四、获取并兑换权益</w:t>
      </w:r>
    </w:p>
    <w:p>
      <w:pPr>
        <w:widowControl/>
      </w:pPr>
      <w:r>
        <w:rPr>
          <w:rFonts w:ascii="Arial" w:hAnsi="Arial" w:eastAsia="PingFang SC" w:cs="PingFang SC"/>
          <w:b w:val="0"/>
        </w:rPr>
        <w:t>账户内还没有可用权益时，可通过站内充值或订阅、卡密自助购买，或兑换已发放的中转兑换码获得权益。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>登录后打开兑换页：</w:t>
      </w:r>
      <w:hyperlink r:id="rId15">
        <w:r>
          <w:rPr>
            <w:rFonts w:ascii="Arial" w:hAnsi="Arial" w:eastAsia="PingFang SC" w:cs="PingFang SC"/>
            <w:color w:val="0563C1"/>
            <w:u w:val="single"/>
          </w:rPr>
          <w:t>https://sakai.my/redeem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>输入中转兑换码或额度包兑换码。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>点击“兑换”，并等待成功提示。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 xml:space="preserve">打开个人资料页 </w:t>
      </w:r>
      <w:hyperlink r:id="rId16">
        <w:r>
          <w:rPr>
            <w:rFonts w:ascii="Arial" w:hAnsi="Arial" w:eastAsia="PingFang SC" w:cs="PingFang SC"/>
            <w:color w:val="0563C1"/>
            <w:u w:val="single"/>
          </w:rPr>
          <w:t>https://sakai.my/profile</w:t>
        </w:r>
      </w:hyperlink>
      <w:r>
        <w:rPr>
          <w:rFonts w:ascii="Arial" w:hAnsi="Arial" w:eastAsia="PingFang SC" w:cs="PingFang SC"/>
          <w:b w:val="0"/>
        </w:rPr>
        <w:t>，确认余额或订阅权益已经到账。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606721"/>
            <wp:docPr id="3" name="Picture 3" descr="兑换成功后的页面截图" title="兑换成功后的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06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2：兑换成功后，账户会获得对应余额或权益。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五、创建 API 密钥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" w:hAnsi="Arial" w:eastAsia="PingFang SC" w:cs="PingFang SC"/>
          <w:b/>
        </w:rPr>
        <w:t>重要：本步是所有子教程的共同前置步骤。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 xml:space="preserve">登录后打开 </w:t>
      </w:r>
      <w:hyperlink r:id="rId18">
        <w:r>
          <w:rPr>
            <w:rFonts w:ascii="Arial" w:hAnsi="Arial" w:eastAsia="PingFang SC" w:cs="PingFang SC"/>
            <w:color w:val="0563C1"/>
            <w:u w:val="single"/>
          </w:rPr>
          <w:t>API 密钥页面</w:t>
        </w:r>
      </w:hyperlink>
      <w:r>
        <w:rPr>
          <w:rFonts w:ascii="Arial" w:hAnsi="Arial" w:eastAsia="PingFang SC" w:cs="PingFang SC"/>
          <w:b w:val="0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 xml:space="preserve">点击“创建密钥”，按用途填写名称，例如 </w:t>
      </w:r>
      <w:r>
        <w:rPr>
          <w:rFonts w:ascii="Menlo" w:hAnsi="Menlo" w:eastAsia="PingFang SC" w:cs="PingFang SC"/>
          <w:b w:val="0"/>
          <w:color w:val="1F4D78"/>
          <w:sz w:val="20"/>
        </w:rPr>
        <w:t>codex</w:t>
      </w:r>
      <w:r>
        <w:rPr>
          <w:rFonts w:ascii="Arial" w:hAnsi="Arial" w:eastAsia="PingFang SC" w:cs="PingFang SC"/>
          <w:b w:val="0"/>
        </w:rPr>
        <w:t>、</w:t>
      </w:r>
      <w:r>
        <w:rPr>
          <w:rFonts w:ascii="Menlo" w:hAnsi="Menlo" w:eastAsia="PingFang SC" w:cs="PingFang SC"/>
          <w:b w:val="0"/>
          <w:color w:val="1F4D78"/>
          <w:sz w:val="20"/>
        </w:rPr>
        <w:t>claude-mac</w:t>
      </w:r>
      <w:r>
        <w:rPr>
          <w:rFonts w:ascii="Arial" w:hAnsi="Arial" w:eastAsia="PingFang SC" w:cs="PingFang SC"/>
          <w:b w:val="0"/>
        </w:rPr>
        <w:t xml:space="preserve"> 或 </w:t>
      </w:r>
      <w:r>
        <w:rPr>
          <w:rFonts w:ascii="Menlo" w:hAnsi="Menlo" w:eastAsia="PingFang SC" w:cs="PingFang SC"/>
          <w:b w:val="0"/>
          <w:color w:val="1F4D78"/>
          <w:sz w:val="20"/>
        </w:rPr>
        <w:t>opencode-win</w:t>
      </w:r>
      <w:r>
        <w:rPr>
          <w:rFonts w:ascii="Arial" w:hAnsi="Arial" w:eastAsia="PingFang SC" w:cs="PingFang SC"/>
          <w:b w:val="0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 xml:space="preserve">根据计费模式选择对应的订阅分组，或 </w:t>
      </w:r>
      <w:r>
        <w:rPr>
          <w:rFonts w:ascii="Menlo" w:hAnsi="Menlo" w:eastAsia="PingFang SC" w:cs="PingFang SC"/>
          <w:b w:val="0"/>
          <w:color w:val="1F4D78"/>
          <w:sz w:val="20"/>
        </w:rPr>
        <w:t>OpenAI-Plus</w:t>
      </w:r>
      <w:r>
        <w:rPr>
          <w:rFonts w:ascii="Arial" w:hAnsi="Arial" w:eastAsia="PingFang SC" w:cs="PingFang SC"/>
          <w:b w:val="0"/>
        </w:rPr>
        <w:t>、</w:t>
      </w:r>
      <w:r>
        <w:rPr>
          <w:rFonts w:ascii="Menlo" w:hAnsi="Menlo" w:eastAsia="PingFang SC" w:cs="PingFang SC"/>
          <w:b w:val="0"/>
          <w:color w:val="1F4D78"/>
          <w:sz w:val="20"/>
        </w:rPr>
        <w:t>Pro</w:t>
      </w:r>
      <w:r>
        <w:rPr>
          <w:rFonts w:ascii="Arial" w:hAnsi="Arial" w:eastAsia="PingFang SC" w:cs="PingFang SC"/>
          <w:b w:val="0"/>
        </w:rPr>
        <w:t>、</w:t>
      </w:r>
      <w:r>
        <w:rPr>
          <w:rFonts w:ascii="Menlo" w:hAnsi="Menlo" w:eastAsia="PingFang SC" w:cs="PingFang SC"/>
          <w:b w:val="0"/>
          <w:color w:val="1F4D78"/>
          <w:sz w:val="20"/>
        </w:rPr>
        <w:t>Claude</w:t>
      </w:r>
      <w:r>
        <w:rPr>
          <w:rFonts w:ascii="Arial" w:hAnsi="Arial" w:eastAsia="PingFang SC" w:cs="PingFang SC"/>
          <w:b w:val="0"/>
        </w:rPr>
        <w:t xml:space="preserve"> 等额度分组；具体名称以中转后台实际显示为准。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>保存后回到密钥列表。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27400"/>
            <wp:docPr id="4" name="Picture 4" descr="API 密钥页面暂无密钥并显示创建密钥按钮" title="API 密钥页面暂无密钥并显示创建密钥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3：密钥列表为空时，点击页面中的“创建密钥”。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68452" cy="6537960"/>
            <wp:docPr id="5" name="Picture 5" descr="创建密钥弹窗中选择 API 分组" title="创建密钥弹窗中选择 API 分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8452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4：分组决定密钥使用的权益来源，选错会导致可用额度异常。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00492"/>
            <wp:docPr id="6" name="Picture 6" descr="密钥列表使用密钥入口" title="密钥列表使用密钥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0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5：创建后回到密钥列表，点击“使用密钥”。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六、查看客户端接入配置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PingFang SC" w:cs="PingFang SC"/>
          <w:b w:val="0"/>
        </w:rPr>
        <w:t>在密钥列表的操作列点击“使用密钥”。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PingFang SC" w:cs="PingFang SC"/>
          <w:b w:val="0"/>
        </w:rPr>
        <w:t>在弹窗中选择需要配置的客户端。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PingFang SC" w:cs="PingFang SC"/>
          <w:b w:val="0"/>
        </w:rPr>
        <w:t xml:space="preserve">记录弹窗中给出的真实 </w:t>
      </w:r>
      <w:r>
        <w:rPr>
          <w:rFonts w:ascii="Menlo" w:hAnsi="Menlo" w:eastAsia="PingFang SC" w:cs="PingFang SC"/>
          <w:b w:val="0"/>
          <w:color w:val="1F4D78"/>
          <w:sz w:val="20"/>
        </w:rPr>
        <w:t>base_url</w:t>
      </w:r>
      <w:r>
        <w:rPr>
          <w:rFonts w:ascii="Arial" w:hAnsi="Arial" w:eastAsia="PingFang SC" w:cs="PingFang SC"/>
          <w:b w:val="0"/>
        </w:rPr>
        <w:t xml:space="preserve"> 和 </w:t>
      </w:r>
      <w:r>
        <w:rPr>
          <w:rFonts w:ascii="Menlo" w:hAnsi="Menlo" w:eastAsia="PingFang SC" w:cs="PingFang SC"/>
          <w:b w:val="0"/>
          <w:color w:val="1F4D78"/>
          <w:sz w:val="20"/>
        </w:rPr>
        <w:t>api_key</w:t>
      </w:r>
      <w:r>
        <w:rPr>
          <w:rFonts w:ascii="Arial" w:hAnsi="Arial" w:eastAsia="PingFang SC" w:cs="PingFang SC"/>
          <w:b w:val="0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PingFang SC" w:cs="PingFang SC"/>
          <w:b w:val="0"/>
        </w:rPr>
        <w:t>不要复制教程截图中的脱敏密钥。</w:t>
      </w:r>
    </w:p>
    <w:p>
      <w:pPr>
        <w:widowControl/>
      </w:pPr>
      <w:r>
        <w:rPr>
          <w:rFonts w:ascii="Arial" w:hAnsi="Arial" w:eastAsia="PingFang SC" w:cs="PingFang SC"/>
          <w:b w:val="0"/>
        </w:rPr>
        <w:t>完成后，继续阅读第一节列出的对应客户端子教程。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七、常见问题</w:t>
      </w:r>
    </w:p>
    <w:p>
      <w:pPr>
        <w:widowControl/>
      </w:pPr>
      <w:r>
        <w:rPr>
          <w:rFonts w:ascii="Arial" w:hAnsi="Arial" w:eastAsia="PingFang SC" w:cs="PingFang SC"/>
          <w:b/>
        </w:rPr>
        <w:t>Q1：一个账号能创建几把密钥？</w:t>
      </w:r>
    </w:p>
    <w:p>
      <w:pPr>
        <w:widowControl/>
      </w:pPr>
      <w:r>
        <w:rPr>
          <w:rFonts w:ascii="Arial" w:hAnsi="Arial" w:eastAsia="PingFang SC" w:cs="PingFang SC"/>
          <w:b w:val="0"/>
        </w:rPr>
        <w:t>可创建多把，建议按客户端或设备分别命名，便于审计和单独吊销。</w:t>
      </w:r>
    </w:p>
    <w:p>
      <w:pPr>
        <w:widowControl/>
      </w:pPr>
      <w:r>
        <w:rPr>
          <w:rFonts w:ascii="Arial" w:hAnsi="Arial" w:eastAsia="PingFang SC" w:cs="PingFang SC"/>
          <w:b/>
        </w:rPr>
        <w:t>Q2：泄露密钥怎么办？</w:t>
      </w:r>
    </w:p>
    <w:p>
      <w:pPr>
        <w:widowControl/>
      </w:pPr>
      <w:r>
        <w:rPr>
          <w:rFonts w:ascii="Arial" w:hAnsi="Arial" w:eastAsia="PingFang SC" w:cs="PingFang SC"/>
          <w:b w:val="0"/>
        </w:rPr>
        <w:t>立即在“API 密钥”页面删除原密钥，重新创建一把，然后更新所有客户端的配置。</w:t>
      </w:r>
    </w:p>
    <w:p>
      <w:pPr>
        <w:widowControl/>
      </w:pPr>
      <w:r>
        <w:rPr>
          <w:rFonts w:ascii="Arial" w:hAnsi="Arial" w:eastAsia="PingFang SC" w:cs="PingFang SC"/>
          <w:b/>
        </w:rPr>
        <w:t>Q3：Codex、Claude Code 和 Open Code 可以共用一把密钥吗？</w:t>
      </w:r>
    </w:p>
    <w:p>
      <w:pPr>
        <w:widowControl/>
      </w:pPr>
      <w:r>
        <w:rPr>
          <w:rFonts w:ascii="Arial" w:hAnsi="Arial" w:eastAsia="PingFang SC" w:cs="PingFang SC"/>
          <w:b w:val="0"/>
        </w:rPr>
        <w:t>可以，但不建议。多把密钥可独立吊销，出现问题时更容易定位对应客户端。</w:t>
      </w:r>
    </w:p>
    <w:p>
      <w:pPr>
        <w:widowControl/>
      </w:pPr>
      <w:r>
        <w:rPr>
          <w:rFonts w:ascii="Arial" w:hAnsi="Arial" w:eastAsia="PingFang SC" w:cs="PingFang SC"/>
          <w:b/>
        </w:rPr>
        <w:t>Q4：充值余额和订阅额度如何消费？</w:t>
      </w:r>
    </w:p>
    <w:p>
      <w:pPr>
        <w:widowControl/>
      </w:pPr>
      <w:r>
        <w:rPr>
          <w:rFonts w:ascii="Arial" w:hAnsi="Arial" w:eastAsia="PingFang SC" w:cs="PingFang SC"/>
          <w:b w:val="0"/>
        </w:rPr>
        <w:t>额度模式按调用量从余额扣款；订阅模式在订阅周期或每日额度内使用，具体规则以中转后台实时显示为准。</w:t>
      </w:r>
    </w:p>
    <w:p>
      <w:pPr>
        <w:widowControl/>
      </w:pPr>
      <w:r>
        <w:rPr>
          <w:rFonts w:ascii="Arial" w:hAnsi="Arial" w:eastAsia="PingFang SC" w:cs="PingFang SC"/>
          <w:b/>
        </w:rPr>
        <w:t>Q5：技术支持怎么联系？</w:t>
      </w:r>
    </w:p>
    <w:p>
      <w:pPr>
        <w:widowControl/>
      </w:pPr>
      <w:r>
        <w:rPr>
          <w:rFonts w:ascii="Arial" w:hAnsi="Arial" w:eastAsia="PingFang SC" w:cs="PingFang SC"/>
          <w:b w:val="0"/>
        </w:rPr>
        <w:t>可扫描本文前面的交流群二维码，或登录中转站后在个人中心、站内公告、客服入口查看最新联系方式。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PingFang SC" w:cs="PingFang SC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PingFang SC" w:cs="PingFang SC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PingFang SC" w:cs="PingFang SC"/>
        <w:color w:val="5F6368"/>
        <w:sz w:val="17"/>
      </w:rPr>
      <w:t>SAK AI · 父教程 · 中转注册、兑换与 API 密钥配置教程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 w:cs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" w:hAnsi="Arial" w:eastAsia="PingFang SC" w:cs="PingFang SC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tfk.com/shop/92O8CR0C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sakai.my/register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sakai.my/redeem" TargetMode="External"/><Relationship Id="rId16" Type="http://schemas.openxmlformats.org/officeDocument/2006/relationships/hyperlink" Target="https://sakai.my/profile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sakai.my/keys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中转注册、兑换与 API 密钥配置教程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