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OpenClaw 在线与本地配置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先选择腾讯云在线模式或本地模式，再分别配置 provider 并完成模型测试。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12 分钟 · 难度 入门 · Windows / macOS / Linux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OpenClaw 的云端面板与本地客户端配置位置不同。开始前先选定一种模式，不要把两套字段混在同一个文件中。本篇在线 JSON schema 仅适用于 ClawPro 的自定义 JSON 界面，不适用于腾讯云云应用 Dashboard；Dashboard 用户应按对应产品文档使用 </w:t>
      </w:r>
      <w:r>
        <w:rPr>
          <w:rFonts w:ascii="Menlo" w:hAnsi="Menlo" w:eastAsia="Hiragino Sans GB" w:cs="Hiragino Sans GB"/>
          <w:b w:val="0"/>
          <w:color w:val="1F4D78"/>
          <w:sz w:val="20"/>
        </w:rPr>
        <w:t>models.providers</w:t>
      </w:r>
      <w:r>
        <w:rPr>
          <w:rFonts w:ascii="Hiragino Sans GB" w:hAnsi="Hiragino Sans GB" w:eastAsia="Hiragino Sans GB" w:cs="Hiragino Sans GB"/>
          <w:b w:val="0"/>
        </w:rPr>
        <w:t xml:space="preserve"> 与 camelCase 字段。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步：选择腾讯云在线或本地模式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已开通腾讯云 ClawPro 且能看到“自定义 JSON”入口：走在线面板路径。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在自己的 Windows、macOS 或 Linux 设备运行：走本地配置路径。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OpenClaw 在线面板与本地配置的模式选择" title="OpenClaw 在线面板与本地配置的模式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图：先选择运行位置，再使用对应的独立配置路径。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步：配置腾讯云 ClawPro 在线路径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登录腾讯云控制台，进入 ClawPro 实例的应用管理或模型配置页，选择自定义模型或 JSON 输入。下方 snake_case 结构仅用于这个界面；如果页面标题是腾讯云云应用 Dashboard，请不要粘贴这段 JSON。ClawPro 核心字段如下：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Hiragino Sans GB" w:hAnsi="Hiragino Sans GB" w:eastAsia="Hiragino Sans GB" w:cs="Hiragino Sans GB"/>
          <w:color w:val="0B2545"/>
          <w:sz w:val="18"/>
        </w:rPr>
        <w:t>{</w:t>
        <w:br/>
        <w:t xml:space="preserve">  "provider": "openai",</w:t>
        <w:br/>
        <w:t xml:space="preserve">  "base_url": "&lt;使用密钥弹窗中的完整地址&gt;",</w:t>
        <w:br/>
        <w:t xml:space="preserve">  "api": "openai-completions",</w:t>
        <w:br/>
        <w:t xml:space="preserve">  "api_key": "sk-example-not-a-real-key",</w:t>
        <w:br/>
        <w:t xml:space="preserve">  "model": {</w:t>
        <w:br/>
        <w:t xml:space="preserve">    "id": "&lt;当前可用模型 ID&gt;",</w:t>
        <w:br/>
        <w:t xml:space="preserve">    "name": "当前可用模型"</w:t>
        <w:br/>
        <w:t xml:space="preserve">  }</w:t>
        <w:br/>
        <w:t>}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尖括号内容是不可直接使用的占位符。请复制“使用密钥”弹窗中的完整地址和当前模型清单中的真实 ID；保存并应用后等待实例更新。不要把示例密钥当作真实密钥。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步：定位本地配置目录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Windows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目录通常是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%USERPROFILE%\.openclaw</w:t>
      </w:r>
      <w:r>
        <w:rPr>
          <w:rFonts w:ascii="Hiragino Sans GB" w:hAnsi="Hiragino Sans GB" w:eastAsia="Hiragino Sans GB" w:cs="Hiragino Sans GB"/>
          <w:b w:val="0"/>
        </w:rPr>
        <w:t xml:space="preserve">，配置文件为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openclaw.json</w:t>
      </w:r>
      <w:r>
        <w:rPr>
          <w:rFonts w:ascii="Calibri" w:hAnsi="Calibri" w:eastAsia="Hiragino Sans GB" w:cs="Hiragino Sans GB"/>
          <w:b w:val="0"/>
        </w:rPr>
        <w:t>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macOS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目录通常是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~/.openclaw</w:t>
      </w:r>
      <w:r>
        <w:rPr>
          <w:rFonts w:ascii="Hiragino Sans GB" w:hAnsi="Hiragino Sans GB" w:eastAsia="Hiragino Sans GB" w:cs="Hiragino Sans GB"/>
          <w:b w:val="0"/>
        </w:rPr>
        <w:t xml:space="preserve">。目录不存在时先创建，再编辑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openclaw.json</w:t>
      </w:r>
      <w:r>
        <w:rPr>
          <w:rFonts w:ascii="Calibri" w:hAnsi="Calibri" w:eastAsia="Hiragino Sans GB" w:cs="Hiragino Sans GB"/>
          <w:b w:val="0"/>
        </w:rPr>
        <w:t>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Linux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目录通常也是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~/.openclaw</w:t>
      </w:r>
      <w:r>
        <w:rPr>
          <w:rFonts w:ascii="Hiragino Sans GB" w:hAnsi="Hiragino Sans GB" w:eastAsia="Hiragino Sans GB" w:cs="Hiragino Sans GB"/>
          <w:b w:val="0"/>
        </w:rPr>
        <w:t>。确保文件权限允许当前用户读取。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步：配置本地路径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已有文件时只合并 </w:t>
      </w:r>
      <w:r>
        <w:rPr>
          <w:rFonts w:ascii="Menlo" w:hAnsi="Menlo" w:eastAsia="Hiragino Sans GB" w:cs="Hiragino Sans GB"/>
          <w:b w:val="0"/>
          <w:color w:val="1F4D78"/>
          <w:sz w:val="20"/>
        </w:rPr>
        <w:t>models.providers.custom</w:t>
      </w:r>
      <w:r>
        <w:rPr>
          <w:rFonts w:ascii="Hiragino Sans GB" w:hAnsi="Hiragino Sans GB" w:eastAsia="Hiragino Sans GB" w:cs="Hiragino Sans GB"/>
          <w:b w:val="0"/>
        </w:rPr>
        <w:t>，不要覆盖其他设置：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Hiragino Sans GB" w:hAnsi="Hiragino Sans GB" w:eastAsia="Hiragino Sans GB" w:cs="Hiragino Sans GB"/>
          <w:color w:val="0B2545"/>
          <w:sz w:val="18"/>
        </w:rPr>
        <w:t>{</w:t>
        <w:br/>
        <w:t xml:space="preserve">  "models": {</w:t>
        <w:br/>
        <w:t xml:space="preserve">    "providers": {</w:t>
        <w:br/>
        <w:t xml:space="preserve">      "custom": {</w:t>
        <w:br/>
        <w:t xml:space="preserve">        "apiKey": "sk-example-not-a-real-key",</w:t>
        <w:br/>
        <w:t xml:space="preserve">        "baseURL": "&lt;使用密钥弹窗中的完整地址&gt;",</w:t>
        <w:br/>
        <w:t xml:space="preserve">        "api": "openai-responses",</w:t>
        <w:br/>
        <w:t xml:space="preserve">        "models": [</w:t>
        <w:br/>
        <w:t xml:space="preserve">          { "id": "&lt;当前可用模型 ID&gt;", "name": "当前可用模型" }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 xml:space="preserve">说明：在线示例使用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openai-completions</w:t>
      </w:r>
      <w:r>
        <w:rPr>
          <w:rFonts w:ascii="Hiragino Sans GB" w:hAnsi="Hiragino Sans GB" w:eastAsia="Hiragino Sans GB" w:cs="Hiragino Sans GB"/>
          <w:b w:val="0"/>
        </w:rPr>
        <w:t xml:space="preserve">，本地示例使用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openai-responses</w:t>
      </w:r>
      <w:r>
        <w:rPr>
          <w:rFonts w:ascii="Hiragino Sans GB" w:hAnsi="Hiragino Sans GB" w:eastAsia="Hiragino Sans GB" w:cs="Hiragino Sans GB"/>
          <w:b w:val="0"/>
        </w:rPr>
        <w:t>。如果当前客户端明确提示另一种 API 类型，以客户端与“使用密钥”弹窗为准。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5 步：完成模型测试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在线模式回到面板的模型测试页，本地模式重启 OpenClaw；选择刚添加的 provider 和模型，发送一个简单请求。先确认模型被正确选中，再判断返回结果。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若地址、认证、模型或限流报错，请进入统一排错指南。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OpenClaw 在线与本地配置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OpenClaw 在线与本地配置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