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Aptos Display" w:hAnsi="Aptos Display"/>
          <w:b/>
          <w:color w:val="0F5261"/>
          <w:sz w:val="64"/>
        </w:rPr>
        <w:t>SATELLITE VISION</w:t>
      </w:r>
    </w:p>
    <w:p>
      <w:pPr>
        <w:jc w:val="center"/>
      </w:pPr>
      <w:r>
        <w:rPr>
          <w:color w:val="3B5E69"/>
          <w:sz w:val="36"/>
        </w:rPr>
        <w:t>Satellite Intelligence &amp; Land Monitoring System</w:t>
      </w:r>
    </w:p>
    <w:p>
      <w:pPr>
        <w:spacing w:before="240"/>
        <w:jc w:val="center"/>
      </w:pPr>
      <w:r>
        <w:rPr>
          <w:i/>
          <w:sz w:val="24"/>
        </w:rPr>
        <w:t>Evidence-based technical report and final project audit</w:t>
      </w:r>
    </w:p>
    <w:p>
      <w:pPr>
        <w:spacing w:before="1900"/>
        <w:jc w:val="center"/>
      </w:pPr>
      <w:r>
        <w:rPr>
          <w:sz w:val="22"/>
        </w:rPr>
        <w:t>Prepared 2026-10-10</w:t>
      </w:r>
    </w:p>
    <w:p>
      <w:pPr>
        <w:jc w:val="center"/>
      </w:pPr>
      <w:r>
        <w:rPr>
          <w:b/>
          <w:color w:val="995B11"/>
        </w:rPr>
        <w:t>Local synthetic demonstration: verified  |  Live production: not ready</w:t>
      </w:r>
    </w:p>
    <w:p>
      <w:r>
        <w:br w:type="page"/>
      </w:r>
    </w:p>
    <w:p>
      <w:pPr>
        <w:pStyle w:val="Heading1"/>
      </w:pPr>
      <w:r>
        <w:t>Contents</w:t>
      </w:r>
    </w:p>
    <w:p>
      <w:r>
        <w:t>1. Abstract</w:t>
      </w:r>
    </w:p>
    <w:p>
      <w:r>
        <w:t>2. Introduction</w:t>
      </w:r>
    </w:p>
    <w:p>
      <w:r>
        <w:t>3. Problem statement</w:t>
      </w:r>
    </w:p>
    <w:p>
      <w:r>
        <w:t>4. Project objectives</w:t>
      </w:r>
    </w:p>
    <w:p>
      <w:r>
        <w:t>5. Existing-system limitations</w:t>
      </w:r>
    </w:p>
    <w:p>
      <w:r>
        <w:t>6. Proposed system</w:t>
      </w:r>
    </w:p>
    <w:p>
      <w:r>
        <w:t>7. System architecture</w:t>
      </w:r>
    </w:p>
    <w:p>
      <w:r>
        <w:t>8. Hardware and software requirements</w:t>
      </w:r>
    </w:p>
    <w:p>
      <w:r>
        <w:t>9. Technology stack</w:t>
      </w:r>
    </w:p>
    <w:p>
      <w:r>
        <w:t>10. Module descriptions</w:t>
      </w:r>
    </w:p>
    <w:p>
      <w:r>
        <w:t>11. Data flow and processing workflow</w:t>
      </w:r>
    </w:p>
    <w:p>
      <w:r>
        <w:t>12. Satellite data sources and preprocessing</w:t>
      </w:r>
    </w:p>
    <w:p>
      <w:r>
        <w:t>13. Geospatial indices and formulas</w:t>
      </w:r>
    </w:p>
    <w:p>
      <w:r>
        <w:t>14. AI/ML methods and validation</w:t>
      </w:r>
    </w:p>
    <w:p>
      <w:r>
        <w:t>15. Database and storage design</w:t>
      </w:r>
    </w:p>
    <w:p>
      <w:r>
        <w:t>16. API design and authentication</w:t>
      </w:r>
    </w:p>
    <w:p>
      <w:r>
        <w:t>17. User interface and dashboard</w:t>
      </w:r>
    </w:p>
    <w:p>
      <w:r>
        <w:t>18. Testing methodology and actual results</w:t>
      </w:r>
    </w:p>
    <w:p>
      <w:r>
        <w:t>19. Performance evaluation</w:t>
      </w:r>
    </w:p>
    <w:p>
      <w:r>
        <w:t>20. Results and discussion</w:t>
      </w:r>
    </w:p>
    <w:p>
      <w:r>
        <w:t>21. Limitations</w:t>
      </w:r>
    </w:p>
    <w:p>
      <w:r>
        <w:t>22. Future enhancements</w:t>
      </w:r>
    </w:p>
    <w:p>
      <w:r>
        <w:t>23. Conclusion</w:t>
      </w:r>
    </w:p>
    <w:p>
      <w:r>
        <w:t>24. References</w:t>
      </w:r>
    </w:p>
    <w:p>
      <w:r>
        <w:t>Evidence status: claims below describe the checked-in source and explicitly identified tests. Passing software tests does not establish scientific accuracy or prove that production services work.</w:t>
      </w:r>
    </w:p>
    <w:p>
      <w:pPr>
        <w:pStyle w:val="Heading1"/>
      </w:pPr>
      <w:r>
        <w:t>1. Abstract</w:t>
      </w:r>
    </w:p>
    <w:p>
      <w:pPr>
        <w:spacing w:after="120"/>
      </w:pPr>
      <w:r>
        <w:t>Satellite Vision is a local-first geospatial analysis prototype that reads supplied, pre-downloaded single-band GeoTIFF rasters and calculates selected spectral indices, a transparent rule-based land-cover baseline, and aligned historical NDVI differences. A React dashboard presents analysis status, visual overlays, charts, provenance warnings, and result downloads. Optional code paths provide Supabase Auth validation, PostgreSQL metadata and private object storage.</w:t>
      </w:r>
    </w:p>
    <w:p>
      <w:pPr>
        <w:spacing w:after="120"/>
      </w:pPr>
      <w:r>
        <w:t>The current source and local tests verify software behavior on synthetic arrays, temporary rasters, mocked cloud transports and local persistence. No authoritative satellite scenes or labeled ground truth are bundled. At the latest local validation, the backend suite passed 92 tests, the frontend passed 28 tests, and the Vite production build succeeded. The synthetic demo endpoint returned HTTP 200 locally. The configured live deployments were stale/different from the current worktree; production Auth, PostgreSQL, Storage and a complete analysis journey remain unverified.</w:t>
      </w:r>
    </w:p>
    <w:p>
      <w:pPr>
        <w:pStyle w:val="Heading1"/>
      </w:pPr>
      <w:r>
        <w:t>2. Introduction</w:t>
      </w:r>
    </w:p>
    <w:p>
      <w:pPr>
        <w:spacing w:after="120"/>
      </w:pPr>
      <w:r>
        <w:t>Multispectral Earth-observation products encode surface reflectance at different wavelengths. Simple band combinations can provide interpretable signals for vegetation, water-related features and built-up surfaces. Satellite Vision packages these calculations behind a local processing pipeline and browser dashboard.</w:t>
      </w:r>
    </w:p>
    <w:p>
      <w:pPr>
        <w:spacing w:after="120"/>
      </w:pPr>
      <w:r>
        <w:t>This is a hackathon-stage foundation rather than a validated operational monitoring service. The source requires users to provide compatible input scenes and explicitly surfaces missing data, unknown provenance, and insufficient temporal history.</w:t>
      </w:r>
    </w:p>
    <w:p>
      <w:pPr>
        <w:pStyle w:val="Heading1"/>
      </w:pPr>
      <w:r>
        <w:t>3. Problem statement</w:t>
      </w:r>
    </w:p>
    <w:p>
      <w:pPr>
        <w:spacing w:after="120"/>
      </w:pPr>
      <w:r>
        <w:t>Users may have multispectral GeoTIFF bands but lack a convenient way to validate, compare, summarize, visualize and download derived products. A safe tool should expose its input assumptions and avoid turning an index threshold into an unsupported causal or land-use claim.</w:t>
      </w:r>
    </w:p>
    <w:p>
      <w:pPr>
        <w:pStyle w:val="Heading1"/>
      </w:pPr>
      <w:r>
        <w:t>4. Project objectives</w:t>
      </w:r>
    </w:p>
    <w:p>
      <w:pPr>
        <w:pStyle w:val="ListBullet"/>
        <w:spacing w:after="60"/>
      </w:pPr>
      <w:r>
        <w:t>Discover supported band-token files and validate required bands and raster alignment.</w:t>
      </w:r>
    </w:p>
    <w:p>
      <w:pPr>
        <w:pStyle w:val="ListBullet"/>
        <w:spacing w:after="60"/>
      </w:pPr>
      <w:r>
        <w:t>Compute NDVI, McFeeters NDWI, NDBI, a heuristic class map and optional aligned NDVI change.</w:t>
      </w:r>
    </w:p>
    <w:p>
      <w:pPr>
        <w:pStyle w:val="ListBullet"/>
        <w:spacing w:after="60"/>
      </w:pPr>
      <w:r>
        <w:t>Preserve available geospatial metadata and identify unknown or synthetic provenance.</w:t>
      </w:r>
    </w:p>
    <w:p>
      <w:pPr>
        <w:pStyle w:val="ListBullet"/>
        <w:spacing w:after="60"/>
      </w:pPr>
      <w:r>
        <w:t>Present results and limitations in a React dashboard with maps, charts and downloadable files.</w:t>
      </w:r>
    </w:p>
    <w:p>
      <w:pPr>
        <w:pStyle w:val="ListBullet"/>
        <w:spacing w:after="60"/>
      </w:pPr>
      <w:r>
        <w:t>Provide a reproducible synthetic demo and regression tests without changing real user data.</w:t>
      </w:r>
    </w:p>
    <w:p>
      <w:pPr>
        <w:pStyle w:val="ListBullet"/>
        <w:spacing w:after="60"/>
      </w:pPr>
      <w:r>
        <w:t>Offer optional owner-scoped Auth, PostgreSQL metadata and private Storage persistence.</w:t>
      </w:r>
    </w:p>
    <w:p>
      <w:pPr>
        <w:pStyle w:val="Heading1"/>
      </w:pPr>
      <w:r>
        <w:t>5. Existing-system limitations</w:t>
      </w:r>
    </w:p>
    <w:p>
      <w:pPr>
        <w:spacing w:after="120"/>
      </w:pPr>
      <w:r>
        <w:t>The prototype improves on a manual band-inspection workflow by automating calculations and visualization, but it does not replace a validated Earth-observation processing chain. It does not download live scenes, verify scene metadata, perform atmospheric correction, apply cloud masks, reproject/resample mismatched inputs, or clip calculations to an AOI. The actual satellite sensor, calibration and acquisition context depend on user-supplied files and tags, which are not independently authenticated.</w:t>
      </w:r>
    </w:p>
    <w:p>
      <w:pPr>
        <w:pStyle w:val="Heading1"/>
      </w:pPr>
      <w:r>
        <w:t>6. Proposed system</w:t>
      </w:r>
    </w:p>
    <w:p>
      <w:pPr>
        <w:spacing w:after="120"/>
      </w:pPr>
      <w:r>
        <w:t>The implemented solution is an offline-first workflow: the user places or uploads suitable single-band GeoTIFFs, the FastAPI backend validates and calculates the requested product, and the dashboard renders available summaries and overlays. A separate in-memory synthetic demo demonstrates calculations without being confused with observations.</w:t>
      </w:r>
    </w:p>
    <w:p>
      <w:pPr>
        <w:spacing w:after="120"/>
      </w:pPr>
      <w:r>
        <w:t>Optional source-code integrations provide user authentication and durable artifact metadata/object storage. These integrations are not considered production-verified because credentials and successful matching deployments were unavailable during this audit.</w:t>
      </w:r>
    </w:p>
    <w:p>
      <w:pPr>
        <w:pStyle w:val="Heading1"/>
      </w:pPr>
      <w:r>
        <w:t>7. System architecture</w:t>
      </w:r>
    </w:p>
    <w:p>
      <w:pPr>
        <w:spacing w:after="120"/>
      </w:pPr>
      <w:r>
        <w:t>The browser application is built with React and Vite. It sends API requests to FastAPI, which reads local/preloaded raster bands through the provider/data-loading layer and calls separate processing modules. Result summaries and artifacts are returned through the API. When fully configured, the backend verifies bearer sessions with Supabase Auth, stores metadata in PostgreSQL, and stores binaries in a private Supabase Storage bucket.</w:t>
      </w:r>
    </w:p>
    <w:p>
      <w:pPr>
        <w:spacing w:after="120"/>
      </w:pPr>
      <w:r>
        <w:t>Architecture, request, processing, persistence, authentication and job lifecycle diagrams are provided in Satellite_Vision_Architecture.md. This implementation has no durable asynchronous worker: job creation and analysis occur in the same synchronous request process.</w:t>
      </w:r>
    </w:p>
    <w:p>
      <w:pPr>
        <w:pStyle w:val="Heading2"/>
      </w:pPr>
      <w:r>
        <w:t>Evidence-based feature status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90" w:type="dxa"/>
              <w:start w:w="110" w:type="dxa"/>
              <w:bottom w:w="90" w:type="dxa"/>
              <w:end w:w="110" w:type="dxa"/>
            </w:tcMar>
            <w:shd w:fill="0F5261"/>
          </w:tcPr>
          <w:p>
            <w:pPr>
              <w:spacing w:after="20"/>
            </w:pPr>
            <w:r>
              <w:rPr>
                <w:rFonts w:ascii="Aptos" w:hAnsi="Aptos"/>
                <w:b/>
                <w:color w:val="FFFFFF"/>
                <w:sz w:val="17"/>
              </w:rPr>
              <w:t>Status</w:t>
            </w:r>
          </w:p>
        </w:tc>
        <w:tc>
          <w:tcPr>
            <w:tcW w:type="dxa" w:w="4968"/>
            <w:vAlign w:val="center"/>
            <w:tcMar>
              <w:top w:w="90" w:type="dxa"/>
              <w:start w:w="110" w:type="dxa"/>
              <w:bottom w:w="90" w:type="dxa"/>
              <w:end w:w="110" w:type="dxa"/>
            </w:tcMar>
            <w:shd w:fill="0F5261"/>
          </w:tcPr>
          <w:p>
            <w:pPr>
              <w:spacing w:after="20"/>
            </w:pPr>
            <w:r>
              <w:rPr>
                <w:rFonts w:ascii="Aptos" w:hAnsi="Aptos"/>
                <w:b/>
                <w:color w:val="FFFFFF"/>
                <w:sz w:val="17"/>
              </w:rPr>
              <w:t>Features / evidence</w:t>
            </w:r>
          </w:p>
        </w:tc>
      </w:tr>
      <w:tr>
        <w:tc>
          <w:tcPr>
            <w:tcW w:type="dxa" w:w="4968"/>
            <w:vAlign w:val="center"/>
            <w:tcMar>
              <w:top w:w="90" w:type="dxa"/>
              <w:start w:w="110" w:type="dxa"/>
              <w:bottom w:w="90" w:type="dxa"/>
              <w:end w:w="110" w:type="dxa"/>
            </w:tcMar>
          </w:tcPr>
          <w:p>
            <w:pPr>
              <w:spacing w:after="20"/>
            </w:pPr>
            <w:r>
              <w:rPr>
                <w:rFonts w:ascii="Aptos" w:hAnsi="Aptos"/>
                <w:color w:val="18313D"/>
                <w:sz w:val="17"/>
              </w:rPr>
              <w:t>Implemented and verified locally</w:t>
            </w:r>
          </w:p>
        </w:tc>
        <w:tc>
          <w:tcPr>
            <w:tcW w:type="dxa" w:w="4968"/>
            <w:vAlign w:val="center"/>
            <w:tcMar>
              <w:top w:w="90" w:type="dxa"/>
              <w:start w:w="110" w:type="dxa"/>
              <w:bottom w:w="90" w:type="dxa"/>
              <w:end w:w="110" w:type="dxa"/>
            </w:tcMar>
          </w:tcPr>
          <w:p>
            <w:pPr>
              <w:spacing w:after="20"/>
            </w:pPr>
            <w:r>
              <w:rPr>
                <w:rFonts w:ascii="Aptos" w:hAnsi="Aptos"/>
                <w:color w:val="18313D"/>
                <w:sz w:val="17"/>
              </w:rPr>
              <w:t>Index formulas and invalid-pixel handling; heuristic classifier; aligned NDVI change; synthetic demo; UI/API regression tests; local and mocked persistence behavior; production frontend build.</w:t>
            </w:r>
          </w:p>
        </w:tc>
      </w:tr>
      <w:tr>
        <w:tc>
          <w:tcPr>
            <w:tcW w:type="dxa" w:w="4968"/>
            <w:vAlign w:val="center"/>
            <w:tcMar>
              <w:top w:w="90" w:type="dxa"/>
              <w:start w:w="110" w:type="dxa"/>
              <w:bottom w:w="90" w:type="dxa"/>
              <w:end w:w="110" w:type="dxa"/>
            </w:tcMar>
            <w:shd w:fill="F2F7F8"/>
          </w:tcPr>
          <w:p>
            <w:pPr>
              <w:spacing w:after="20"/>
            </w:pPr>
            <w:r>
              <w:rPr>
                <w:rFonts w:ascii="Aptos" w:hAnsi="Aptos"/>
                <w:color w:val="18313D"/>
                <w:sz w:val="17"/>
              </w:rPr>
              <w:t>Implemented but not fully verified</w:t>
            </w:r>
          </w:p>
        </w:tc>
        <w:tc>
          <w:tcPr>
            <w:tcW w:type="dxa" w:w="4968"/>
            <w:vAlign w:val="center"/>
            <w:tcMar>
              <w:top w:w="90" w:type="dxa"/>
              <w:start w:w="110" w:type="dxa"/>
              <w:bottom w:w="90" w:type="dxa"/>
              <w:end w:w="110" w:type="dxa"/>
            </w:tcMar>
            <w:shd w:fill="F2F7F8"/>
          </w:tcPr>
          <w:p>
            <w:pPr>
              <w:spacing w:after="20"/>
            </w:pPr>
            <w:r>
              <w:rPr>
                <w:rFonts w:ascii="Aptos" w:hAnsi="Aptos"/>
                <w:color w:val="18313D"/>
                <w:sz w:val="17"/>
              </w:rPr>
              <w:t>Supabase bearer verification; owner-scoped data/artifacts; PostgreSQL migrations and private Storage integration; deployed Vercel/Render application. Source/mocks exist, but live cloud user journey was not validated.</w:t>
            </w:r>
          </w:p>
        </w:tc>
      </w:tr>
      <w:tr>
        <w:tc>
          <w:tcPr>
            <w:tcW w:type="dxa" w:w="4968"/>
            <w:vAlign w:val="center"/>
            <w:tcMar>
              <w:top w:w="90" w:type="dxa"/>
              <w:start w:w="110" w:type="dxa"/>
              <w:bottom w:w="90" w:type="dxa"/>
              <w:end w:w="110" w:type="dxa"/>
            </w:tcMar>
          </w:tcPr>
          <w:p>
            <w:pPr>
              <w:spacing w:after="20"/>
            </w:pPr>
            <w:r>
              <w:rPr>
                <w:rFonts w:ascii="Aptos" w:hAnsi="Aptos"/>
                <w:color w:val="18313D"/>
                <w:sz w:val="17"/>
              </w:rPr>
              <w:t>Planned or incomplete</w:t>
            </w:r>
          </w:p>
        </w:tc>
        <w:tc>
          <w:tcPr>
            <w:tcW w:type="dxa" w:w="4968"/>
            <w:vAlign w:val="center"/>
            <w:tcMar>
              <w:top w:w="90" w:type="dxa"/>
              <w:start w:w="110" w:type="dxa"/>
              <w:bottom w:w="90" w:type="dxa"/>
              <w:end w:w="110" w:type="dxa"/>
            </w:tcMar>
          </w:tcPr>
          <w:p>
            <w:pPr>
              <w:spacing w:after="20"/>
            </w:pPr>
            <w:r>
              <w:rPr>
                <w:rFonts w:ascii="Aptos" w:hAnsi="Aptos"/>
                <w:color w:val="18313D"/>
                <w:sz w:val="17"/>
              </w:rPr>
              <w:t>Live scene search/download, AOI clipping, automatic reprojection, cloud masking, trained/held-out-evaluated classifier, durable async worker, production-tested cloud storage.</w:t>
            </w:r>
          </w:p>
        </w:tc>
      </w:tr>
    </w:tbl>
    <w:p>
      <w:pPr>
        <w:spacing w:after="20"/>
      </w:pPr>
    </w:p>
    <w:p>
      <w:pPr>
        <w:pStyle w:val="Heading1"/>
      </w:pPr>
      <w:r>
        <w:t>8. Hardware and software requirements</w:t>
      </w:r>
    </w:p>
    <w:p>
      <w:pPr>
        <w:spacing w:after="120"/>
      </w:pPr>
      <w:r>
        <w:t>The project has no formally measured minimum hardware specification. The documented development requirements are Python 3.11+, Node.js 20+, and a browser. Backend libraries include FastAPI, Uvicorn, NumPy, Rasterio, PyProj, Shapely, Pillow and SQLAlchemy. Frontend libraries include React, Vite, Axios, Leaflet/React Leaflet, Recharts and Supabase JS.</w:t>
      </w:r>
    </w:p>
    <w:p>
      <w:pPr>
        <w:spacing w:after="120"/>
      </w:pPr>
      <w:r>
        <w:t>A local performance run used Windows 11, Python 3.14.3 and deterministic 512 x 512 synthetic rasters. Its sampled peak process RSS was about 245 MB for the 1-client run. CPU model and system RAM were not recorded, and this single-process result is not a minimum requirement or capacity promise. The Render Blueprint pins Python 3.12.11.</w:t>
      </w:r>
    </w:p>
    <w:p>
      <w:pPr>
        <w:pStyle w:val="Heading1"/>
      </w:pPr>
      <w:r>
        <w:t>9. Technology stack</w:t>
      </w:r>
    </w:p>
    <w:p>
      <w:pPr>
        <w:pStyle w:val="ListBullet"/>
        <w:spacing w:after="60"/>
      </w:pPr>
      <w:r>
        <w:t>Frontend: React 19, Vite 6, Leaflet / React Leaflet, Recharts, Axios, Supabase JS.</w:t>
      </w:r>
    </w:p>
    <w:p>
      <w:pPr>
        <w:pStyle w:val="ListBullet"/>
        <w:spacing w:after="60"/>
      </w:pPr>
      <w:r>
        <w:t>Backend: Python, FastAPI, Uvicorn, NumPy, Rasterio, PyProj, Shapely, Pillow.</w:t>
      </w:r>
    </w:p>
    <w:p>
      <w:pPr>
        <w:pStyle w:val="ListBullet"/>
        <w:spacing w:after="60"/>
      </w:pPr>
      <w:r>
        <w:t>Persistence: SQLAlchemy and Alembic; PostgreSQL when configured; Supabase Storage for private binaries.</w:t>
      </w:r>
    </w:p>
    <w:p>
      <w:pPr>
        <w:pStyle w:val="ListBullet"/>
        <w:spacing w:after="60"/>
      </w:pPr>
      <w:r>
        <w:t>Deployment configuration: Vercel frontend, Render FastAPI service; checked-in API health path `/api/ready`.</w:t>
      </w:r>
    </w:p>
    <w:p>
      <w:pPr>
        <w:pStyle w:val="ListBullet"/>
        <w:spacing w:after="60"/>
      </w:pPr>
      <w:r>
        <w:t>Testing: pytest, FastAPI TestClient, temporary GeoTIFF fixtures, mocked HTTP transport, Vitest and Testing Library.</w:t>
      </w:r>
    </w:p>
    <w:p>
      <w:pPr>
        <w:pStyle w:val="Heading1"/>
      </w:pPr>
      <w:r>
        <w:t>10. Module descriptions</w:t>
      </w:r>
    </w:p>
    <w:p>
      <w:pPr>
        <w:pStyle w:val="ListBullet"/>
        <w:spacing w:after="60"/>
      </w:pPr>
      <w:r>
        <w:t>`backend/processing/`: band loading, alignment validation, index calculations, class baseline, change detection, provenance and visualization.</w:t>
      </w:r>
    </w:p>
    <w:p>
      <w:pPr>
        <w:pStyle w:val="ListBullet"/>
        <w:spacing w:after="60"/>
      </w:pPr>
      <w:r>
        <w:t>`backend/geoai/`: spatial summaries, trend/forecast utilities, risk indicators, transitions, uncertainty and evaluation guardrails.</w:t>
      </w:r>
    </w:p>
    <w:p>
      <w:pPr>
        <w:pStyle w:val="ListBullet"/>
        <w:spacing w:after="60"/>
      </w:pPr>
      <w:r>
        <w:t>`backend/satellite/`: provider interface, local/mock providers and cache; live scene retrieval is incomplete.</w:t>
      </w:r>
    </w:p>
    <w:p>
      <w:pPr>
        <w:pStyle w:val="ListBullet"/>
        <w:spacing w:after="60"/>
      </w:pPr>
      <w:r>
        <w:t>`backend/api/routes.py`: dataset upload/status, analysis, demo, GeoAI, results, job and artifact endpoints.</w:t>
      </w:r>
    </w:p>
    <w:p>
      <w:pPr>
        <w:pStyle w:val="ListBullet"/>
        <w:spacing w:after="60"/>
      </w:pPr>
      <w:r>
        <w:t>`backend/persistence/`: SQLAlchemy entities/repository, migrations integration, local/Supabase artifact manager and consistency handling.</w:t>
      </w:r>
    </w:p>
    <w:p>
      <w:pPr>
        <w:pStyle w:val="ListBullet"/>
        <w:spacing w:after="60"/>
      </w:pPr>
      <w:r>
        <w:t>`frontend/src/`: dashboard state, API client, auth panel, lazy-loaded map/charts and downloadable output workflow.</w:t>
      </w:r>
    </w:p>
    <w:p>
      <w:pPr>
        <w:pStyle w:val="Heading1"/>
      </w:pPr>
      <w:r>
        <w:t>11. Data flow and processing workflow</w:t>
      </w:r>
    </w:p>
    <w:p>
      <w:pPr>
        <w:spacing w:after="120"/>
      </w:pPr>
      <w:r>
        <w:t>The flow is: locate supported band-token GeoTIFFs; read raster values and metadata; check required bands, dimensions, CRS and transforms; create a combined valid-data mask; compute indices and optional classification/change products; produce statistics and outputs; return a summary and available artifact manifest to the UI. Invalid or misaligned datasets produce an explicit error rather than automatic reprojection or silent interpolation.</w:t>
      </w:r>
    </w:p>
    <w:p>
      <w:pPr>
        <w:spacing w:after="120"/>
      </w:pPr>
      <w:r>
        <w:t>The full raster is currently loaded for core calculations. Source-size, pixel-count, input-array and time budgets plus per-process admission control guard expected resource use, but do not constitute a strict total-RSS bound.</w:t>
      </w:r>
    </w:p>
    <w:p>
      <w:pPr>
        <w:pStyle w:val="Heading1"/>
      </w:pPr>
      <w:r>
        <w:t>12. Satellite data sources and preprocessing</w:t>
      </w:r>
    </w:p>
    <w:p>
      <w:pPr>
        <w:spacing w:after="120"/>
      </w:pPr>
      <w:r>
        <w:t>The operational analysis input is user-supplied or pre-downloaded single-band GeoTIFF data, usually identified by Sentinel-2-style tokens B02, B03, B04, B08 and B11. No sample scene is bundled and no live Sentinel scene was used to produce the project test results. The mock provider produces clearly labelled synthetic data.</w:t>
      </w:r>
    </w:p>
    <w:p>
      <w:pPr>
        <w:spacing w:after="120"/>
      </w:pPr>
      <w:r>
        <w:t>Rasterio reads data, CRS, affine transform, dimensions, resolution, nodata and available tags. The pipeline rejects unsupported/missing bands and mismatched grids. It does not perform atmospheric correction, normalization, cloud/shadow masking, automatic reprojection, resampling, or AOI clipping. Tags such as acquisition date/platform/sensor are provenance hints supplied with the input, not verified facts.</w:t>
      </w:r>
    </w:p>
    <w:p>
      <w:pPr>
        <w:pStyle w:val="Heading1"/>
      </w:pPr>
      <w:r>
        <w:t>13. Geospatial indices and formulas</w:t>
      </w:r>
    </w:p>
    <w:p>
      <w:pPr>
        <w:spacing w:after="120"/>
      </w:pPr>
      <w:r>
        <w:t>Band identities below follow the current implementation's Sentinel-2-style contract; the code does not prove that an arbitrary input is in fact from that sensor.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90" w:type="dxa"/>
              <w:start w:w="110" w:type="dxa"/>
              <w:bottom w:w="90" w:type="dxa"/>
              <w:end w:w="110" w:type="dxa"/>
            </w:tcMar>
            <w:shd w:fill="0F5261"/>
          </w:tcPr>
          <w:p>
            <w:pPr>
              <w:spacing w:after="20"/>
            </w:pPr>
            <w:r>
              <w:rPr>
                <w:rFonts w:ascii="Aptos" w:hAnsi="Aptos"/>
                <w:b/>
                <w:color w:val="FFFFFF"/>
                <w:sz w:val="17"/>
              </w:rPr>
              <w:t>Product</w:t>
            </w:r>
          </w:p>
        </w:tc>
        <w:tc>
          <w:tcPr>
            <w:tcW w:type="dxa" w:w="3312"/>
            <w:vAlign w:val="center"/>
            <w:tcMar>
              <w:top w:w="90" w:type="dxa"/>
              <w:start w:w="110" w:type="dxa"/>
              <w:bottom w:w="90" w:type="dxa"/>
              <w:end w:w="110" w:type="dxa"/>
            </w:tcMar>
            <w:shd w:fill="0F5261"/>
          </w:tcPr>
          <w:p>
            <w:pPr>
              <w:spacing w:after="20"/>
            </w:pPr>
            <w:r>
              <w:rPr>
                <w:rFonts w:ascii="Aptos" w:hAnsi="Aptos"/>
                <w:b/>
                <w:color w:val="FFFFFF"/>
                <w:sz w:val="17"/>
              </w:rPr>
              <w:t>Input bands</w:t>
            </w:r>
          </w:p>
        </w:tc>
        <w:tc>
          <w:tcPr>
            <w:tcW w:type="dxa" w:w="3312"/>
            <w:vAlign w:val="center"/>
            <w:tcMar>
              <w:top w:w="90" w:type="dxa"/>
              <w:start w:w="110" w:type="dxa"/>
              <w:bottom w:w="90" w:type="dxa"/>
              <w:end w:w="110" w:type="dxa"/>
            </w:tcMar>
            <w:shd w:fill="0F5261"/>
          </w:tcPr>
          <w:p>
            <w:pPr>
              <w:spacing w:after="20"/>
            </w:pPr>
            <w:r>
              <w:rPr>
                <w:rFonts w:ascii="Aptos" w:hAnsi="Aptos"/>
                <w:b/>
                <w:color w:val="FFFFFF"/>
                <w:sz w:val="17"/>
              </w:rPr>
              <w:t>Implemented equation / interpretation</w:t>
            </w:r>
          </w:p>
        </w:tc>
      </w:tr>
      <w:tr>
        <w:tc>
          <w:tcPr>
            <w:tcW w:type="dxa" w:w="3312"/>
            <w:vAlign w:val="center"/>
            <w:tcMar>
              <w:top w:w="90" w:type="dxa"/>
              <w:start w:w="110" w:type="dxa"/>
              <w:bottom w:w="90" w:type="dxa"/>
              <w:end w:w="110" w:type="dxa"/>
            </w:tcMar>
          </w:tcPr>
          <w:p>
            <w:pPr>
              <w:spacing w:after="20"/>
            </w:pPr>
            <w:r>
              <w:rPr>
                <w:rFonts w:ascii="Aptos" w:hAnsi="Aptos"/>
                <w:color w:val="18313D"/>
                <w:sz w:val="17"/>
              </w:rPr>
              <w:t>NDVI</w:t>
            </w:r>
          </w:p>
        </w:tc>
        <w:tc>
          <w:tcPr>
            <w:tcW w:type="dxa" w:w="3312"/>
            <w:vAlign w:val="center"/>
            <w:tcMar>
              <w:top w:w="90" w:type="dxa"/>
              <w:start w:w="110" w:type="dxa"/>
              <w:bottom w:w="90" w:type="dxa"/>
              <w:end w:w="110" w:type="dxa"/>
            </w:tcMar>
          </w:tcPr>
          <w:p>
            <w:pPr>
              <w:spacing w:after="20"/>
            </w:pPr>
            <w:r>
              <w:rPr>
                <w:rFonts w:ascii="Aptos" w:hAnsi="Aptos"/>
                <w:color w:val="18313D"/>
                <w:sz w:val="17"/>
              </w:rPr>
              <w:t>B08 NIR; B04 red</w:t>
            </w:r>
          </w:p>
        </w:tc>
        <w:tc>
          <w:tcPr>
            <w:tcW w:type="dxa" w:w="3312"/>
            <w:vAlign w:val="center"/>
            <w:tcMar>
              <w:top w:w="90" w:type="dxa"/>
              <w:start w:w="110" w:type="dxa"/>
              <w:bottom w:w="90" w:type="dxa"/>
              <w:end w:w="110" w:type="dxa"/>
            </w:tcMar>
          </w:tcPr>
          <w:p>
            <w:pPr>
              <w:spacing w:after="20"/>
            </w:pPr>
            <w:r>
              <w:rPr>
                <w:rFonts w:ascii="Aptos" w:hAnsi="Aptos"/>
                <w:color w:val="18313D"/>
                <w:sz w:val="17"/>
              </w:rPr>
              <w:t>(B08 - B04) / (B08 + B04); vegetation greenness indicator.</w:t>
            </w:r>
          </w:p>
        </w:tc>
      </w:tr>
      <w:tr>
        <w:tc>
          <w:tcPr>
            <w:tcW w:type="dxa" w:w="3312"/>
            <w:vAlign w:val="center"/>
            <w:tcMar>
              <w:top w:w="90" w:type="dxa"/>
              <w:start w:w="110" w:type="dxa"/>
              <w:bottom w:w="90" w:type="dxa"/>
              <w:end w:w="110" w:type="dxa"/>
            </w:tcMar>
            <w:shd w:fill="F2F7F8"/>
          </w:tcPr>
          <w:p>
            <w:pPr>
              <w:spacing w:after="20"/>
            </w:pPr>
            <w:r>
              <w:rPr>
                <w:rFonts w:ascii="Aptos" w:hAnsi="Aptos"/>
                <w:color w:val="18313D"/>
                <w:sz w:val="17"/>
              </w:rPr>
              <w:t>McFeeters NDWI</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B03 green; B08 NIR</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(B03 - B08) / (B03 + B08); water-related indicator.</w:t>
            </w:r>
          </w:p>
        </w:tc>
      </w:tr>
      <w:tr>
        <w:tc>
          <w:tcPr>
            <w:tcW w:type="dxa" w:w="3312"/>
            <w:vAlign w:val="center"/>
            <w:tcMar>
              <w:top w:w="90" w:type="dxa"/>
              <w:start w:w="110" w:type="dxa"/>
              <w:bottom w:w="90" w:type="dxa"/>
              <w:end w:w="110" w:type="dxa"/>
            </w:tcMar>
          </w:tcPr>
          <w:p>
            <w:pPr>
              <w:spacing w:after="20"/>
            </w:pPr>
            <w:r>
              <w:rPr>
                <w:rFonts w:ascii="Aptos" w:hAnsi="Aptos"/>
                <w:color w:val="18313D"/>
                <w:sz w:val="17"/>
              </w:rPr>
              <w:t>NDBI</w:t>
            </w:r>
          </w:p>
        </w:tc>
        <w:tc>
          <w:tcPr>
            <w:tcW w:type="dxa" w:w="3312"/>
            <w:vAlign w:val="center"/>
            <w:tcMar>
              <w:top w:w="90" w:type="dxa"/>
              <w:start w:w="110" w:type="dxa"/>
              <w:bottom w:w="90" w:type="dxa"/>
              <w:end w:w="110" w:type="dxa"/>
            </w:tcMar>
          </w:tcPr>
          <w:p>
            <w:pPr>
              <w:spacing w:after="20"/>
            </w:pPr>
            <w:r>
              <w:rPr>
                <w:rFonts w:ascii="Aptos" w:hAnsi="Aptos"/>
                <w:color w:val="18313D"/>
                <w:sz w:val="17"/>
              </w:rPr>
              <w:t>B11 SWIR; B08 NIR</w:t>
            </w:r>
          </w:p>
        </w:tc>
        <w:tc>
          <w:tcPr>
            <w:tcW w:type="dxa" w:w="3312"/>
            <w:vAlign w:val="center"/>
            <w:tcMar>
              <w:top w:w="90" w:type="dxa"/>
              <w:start w:w="110" w:type="dxa"/>
              <w:bottom w:w="90" w:type="dxa"/>
              <w:end w:w="110" w:type="dxa"/>
            </w:tcMar>
          </w:tcPr>
          <w:p>
            <w:pPr>
              <w:spacing w:after="20"/>
            </w:pPr>
            <w:r>
              <w:rPr>
                <w:rFonts w:ascii="Aptos" w:hAnsi="Aptos"/>
                <w:color w:val="18313D"/>
                <w:sz w:val="17"/>
              </w:rPr>
              <w:t>(B11 - B08) / (B11 + B08); built-up indicator.</w:t>
            </w:r>
          </w:p>
        </w:tc>
      </w:tr>
      <w:tr>
        <w:tc>
          <w:tcPr>
            <w:tcW w:type="dxa" w:w="3312"/>
            <w:vAlign w:val="center"/>
            <w:tcMar>
              <w:top w:w="90" w:type="dxa"/>
              <w:start w:w="110" w:type="dxa"/>
              <w:bottom w:w="90" w:type="dxa"/>
              <w:end w:w="110" w:type="dxa"/>
            </w:tcMar>
            <w:shd w:fill="F2F7F8"/>
          </w:tcPr>
          <w:p>
            <w:pPr>
              <w:spacing w:after="20"/>
            </w:pPr>
            <w:r>
              <w:rPr>
                <w:rFonts w:ascii="Aptos" w:hAnsi="Aptos"/>
                <w:color w:val="18313D"/>
                <w:sz w:val="17"/>
              </w:rPr>
              <w:t>NDVI change</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Aligned current and historical B04/B08</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NDVI_current - NDVI_historical; descriptive, not causal.</w:t>
            </w:r>
          </w:p>
        </w:tc>
      </w:tr>
    </w:tbl>
    <w:p>
      <w:pPr>
        <w:spacing w:after="20"/>
      </w:pPr>
    </w:p>
    <w:p>
      <w:r>
        <w:t>Zero denominators and invalid/nodata pixels are excluded from valid statistics. The implementation does not clamp outputs to [-1, 1]; negative source values can result in warnings and values outside that range. Default thresholds include NDVI 0.3 for a vegetation share and NDWI/NDBI 0.0 for indicator summaries; these are application parameters, not universal ecological boundaries.</w:t>
      </w:r>
    </w:p>
    <w:p>
      <w:pPr>
        <w:pStyle w:val="Heading1"/>
      </w:pPr>
      <w:r>
        <w:t>14. AI/ML methods and validation</w:t>
      </w:r>
    </w:p>
    <w:p>
      <w:pPr>
        <w:spacing w:after="120"/>
      </w:pPr>
      <w:r>
        <w:t>The active land-cover product is not a trained AI/ML model. It is a deterministic baseline with precedence: Water (NDWI &gt; 0.1), Built-up (NDBI &gt; 0.05), Vegetation (NDVI &gt;= 0.45), Agriculture (NDVI &gt;= 0.25), then Bare land. The class labels and threshold agreement are not calibrated probabilities.</w:t>
      </w:r>
    </w:p>
    <w:p>
      <w:pPr>
        <w:spacing w:after="120"/>
      </w:pPr>
      <w:r>
        <w:t>A Random Forest wrapper is present but remains untrained and is not used for dashboard classification. No labeled training dataset, fitted model artifact, independent test labels, or satellite ground truth is included. Consequently supervised accuracy, precision, recall, F1 and confusion-matrix metrics cannot be established. Time-series evaluation code uses chronological hold-out and persistence baseline when enough observations exist, but current tagged local history is insufficient for independent forecast validation.</w:t>
      </w:r>
    </w:p>
    <w:p>
      <w:pPr>
        <w:pStyle w:val="Heading1"/>
      </w:pPr>
      <w:r>
        <w:t>15. Database and storage design</w:t>
      </w:r>
    </w:p>
    <w:p>
      <w:pPr>
        <w:spacing w:after="120"/>
      </w:pPr>
      <w:r>
        <w:t>SQLAlchemy metadata represents analyses, processing jobs, status history and analysis artifacts. Alembic revisions 0001 through 0004 add base persistence, ownership/artifact metadata, idempotency and a history index. Owner IDs and idempotency keys scope records; migrations are designed to preserve legacy rows rather than assign them to users. PostgreSQL stores metadata and JSON summaries, not large raster binaries.</w:t>
      </w:r>
    </w:p>
    <w:p>
      <w:pPr>
        <w:spacing w:after="120"/>
      </w:pPr>
      <w:r>
        <w:t>When properly configured, the backend uses the Supabase service-role credential for private object operations and stores the bucket/object key, media/type/size/timestamp and metadata in PostgreSQL. Artifact retrieval is routed through owner-checked backend endpoints; optional signed links expire. Local artifacts remain the offline fallback. Cloud database and Storage behavior was covered with mocks/local tests but was not verified against a live Supabase project.</w:t>
      </w:r>
    </w:p>
    <w:p>
      <w:pPr>
        <w:pStyle w:val="Heading1"/>
      </w:pPr>
      <w:r>
        <w:t>16. API design and authentication</w:t>
      </w:r>
    </w:p>
    <w:p>
      <w:pPr>
        <w:spacing w:after="120"/>
      </w:pPr>
      <w:r>
        <w:t>Representative endpoints include `/api/health`, `/api/ready`, `/api/auth/status`, `/api/dataset`, `/api/dataset/{period}/upload`, `/api/analyze/{analysis_key}`, `/api/analyze/all`, `/api/results`, `/api/jobs/{job_id}`, `/api/analyses/{analysis_id}`, `/api/results/{result_id}/artifacts`, `/api/geoai/demo`, `/api/geoai/history`, `/api/geoai/model-evaluation`, and `/api/visualization/{kind}`. Satellite search/download routes are present but live retrieval returns an unimplemented response.</w:t>
      </w:r>
    </w:p>
    <w:p>
      <w:pPr>
        <w:spacing w:after="120"/>
      </w:pPr>
      <w:r>
        <w:t>When auth is required, the backend forwards the bearer credential to Supabase Auth's user endpoint and scopes data access using the verified identity. Public paths include liveness/readiness/auth-status. CORS is restricted to configured origins. Frontend build settings are `VITE_API_URL`, `VITE_SUPABASE_URL` and `VITE_SUPABASE_ANON_KEY`. Backend-only settings include `DATABASE_URL`, `SUPABASE_URL`, `SUPABASE_ANON_KEY`, `SUPABASE_SERVICE_ROLE_KEY`, and `SUPABASE_STORAGE_BUCKET`. The service-role key and database URL must never be placed in Vite/browser settings. The deployed page checked on 2026-10-10 had no visible sign-in control. `GET /api/results?limit=1` returned HTTP 200 both without credentials and with a malformed test bearer token (the anonymous response was 29 bytes). Both bodies were discarded and not inspected; this establishes failure to reject those requests, not proof that user data was returned. Do not upload private data before redeployment and verification.</w:t>
      </w:r>
    </w:p>
    <w:p>
      <w:pPr>
        <w:spacing w:after="120"/>
      </w:pPr>
      <w:r>
        <w:t>The local source also refuses to send Supabase bearer or service-role credentials to a remote HTTP URL; HTTPS is required, with loopback HTTP allowed for development.</w:t>
      </w:r>
    </w:p>
    <w:p>
      <w:pPr>
        <w:spacing w:after="120"/>
      </w:pPr>
      <w:r>
        <w:t>Jobs transition through queued/running/completed/failed records in the request lifecycle. Processing is synchronous; no durable worker or queue is implemented. A per-process concurrency guard and idempotency support do not make execution distributed or background.</w:t>
      </w:r>
    </w:p>
    <w:p>
      <w:pPr>
        <w:pStyle w:val="Heading1"/>
      </w:pPr>
      <w:r>
        <w:t>17. User interface and dashboard</w:t>
      </w:r>
    </w:p>
    <w:p>
      <w:pPr>
        <w:spacing w:after="120"/>
      </w:pPr>
      <w:r>
        <w:t>The React UI includes dataset status and upload surfaces, per-analysis actions, a synthetic demo panel, analysis maps/overlays, charts, insight/quality messages, saved-result history, authentication UI when configured, and artifact download controls. Map and chart modules are loaded lazily. Empty dataset and insufficient-history states are represented explicitly.</w:t>
      </w:r>
    </w:p>
    <w:p>
      <w:pPr>
        <w:spacing w:after="120"/>
      </w:pPr>
      <w:r>
        <w:t>A local browser run against the current source displayed the synthetic demo label, three calculated index means and the rule-class distribution. This is a genuine run of the local synthetic endpoint, not a screenshot or result from the deployed site. The current Vercel deployment served an older bundle, so its UI is not evidence for the current source behavior.</w:t>
      </w:r>
    </w:p>
    <w:p>
      <w:pPr>
        <w:pStyle w:val="Heading1"/>
      </w:pPr>
      <w:r>
        <w:t>18. Testing methodology and actual results</w:t>
      </w:r>
    </w:p>
    <w:p>
      <w:pPr>
        <w:spacing w:after="120"/>
      </w:pPr>
      <w:r>
        <w:t>Backend tests use deterministic arrays, temporary GeoTIFFs, SQLite-backed repository checks and mocked HTTP/Auth/Storage transports. Frontend tests use Vitest, Testing Library and mocked API interactions. The local synthetic demo endpoint was independently invoked and returned HTTP 200 with the synthetic classification marker. These methods verify code paths but are not live cloud, provider, or scientific ground-truth tests.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90" w:type="dxa"/>
              <w:start w:w="110" w:type="dxa"/>
              <w:bottom w:w="90" w:type="dxa"/>
              <w:end w:w="110" w:type="dxa"/>
            </w:tcMar>
            <w:shd w:fill="0F5261"/>
          </w:tcPr>
          <w:p>
            <w:pPr>
              <w:spacing w:after="20"/>
            </w:pPr>
            <w:r>
              <w:rPr>
                <w:rFonts w:ascii="Aptos" w:hAnsi="Aptos"/>
                <w:b/>
                <w:color w:val="FFFFFF"/>
                <w:sz w:val="17"/>
              </w:rPr>
              <w:t>Check</w:t>
            </w:r>
          </w:p>
        </w:tc>
        <w:tc>
          <w:tcPr>
            <w:tcW w:type="dxa" w:w="3312"/>
            <w:vAlign w:val="center"/>
            <w:tcMar>
              <w:top w:w="90" w:type="dxa"/>
              <w:start w:w="110" w:type="dxa"/>
              <w:bottom w:w="90" w:type="dxa"/>
              <w:end w:w="110" w:type="dxa"/>
            </w:tcMar>
            <w:shd w:fill="0F5261"/>
          </w:tcPr>
          <w:p>
            <w:pPr>
              <w:spacing w:after="20"/>
            </w:pPr>
            <w:r>
              <w:rPr>
                <w:rFonts w:ascii="Aptos" w:hAnsi="Aptos"/>
                <w:b/>
                <w:color w:val="FFFFFF"/>
                <w:sz w:val="17"/>
              </w:rPr>
              <w:t>Latest recorded result</w:t>
            </w:r>
          </w:p>
        </w:tc>
        <w:tc>
          <w:tcPr>
            <w:tcW w:type="dxa" w:w="3312"/>
            <w:vAlign w:val="center"/>
            <w:tcMar>
              <w:top w:w="90" w:type="dxa"/>
              <w:start w:w="110" w:type="dxa"/>
              <w:bottom w:w="90" w:type="dxa"/>
              <w:end w:w="110" w:type="dxa"/>
            </w:tcMar>
            <w:shd w:fill="0F5261"/>
          </w:tcPr>
          <w:p>
            <w:pPr>
              <w:spacing w:after="20"/>
            </w:pPr>
            <w:r>
              <w:rPr>
                <w:rFonts w:ascii="Aptos" w:hAnsi="Aptos"/>
                <w:b/>
                <w:color w:val="FFFFFF"/>
                <w:sz w:val="17"/>
              </w:rPr>
              <w:t>Evidence scope</w:t>
            </w:r>
          </w:p>
        </w:tc>
      </w:tr>
      <w:tr>
        <w:tc>
          <w:tcPr>
            <w:tcW w:type="dxa" w:w="3312"/>
            <w:vAlign w:val="center"/>
            <w:tcMar>
              <w:top w:w="90" w:type="dxa"/>
              <w:start w:w="110" w:type="dxa"/>
              <w:bottom w:w="90" w:type="dxa"/>
              <w:end w:w="110" w:type="dxa"/>
            </w:tcMar>
          </w:tcPr>
          <w:p>
            <w:pPr>
              <w:spacing w:after="20"/>
            </w:pPr>
            <w:r>
              <w:rPr>
                <w:rFonts w:ascii="Aptos" w:hAnsi="Aptos"/>
                <w:color w:val="18313D"/>
                <w:sz w:val="17"/>
              </w:rPr>
              <w:t>Backend pytest</w:t>
            </w:r>
          </w:p>
        </w:tc>
        <w:tc>
          <w:tcPr>
            <w:tcW w:type="dxa" w:w="3312"/>
            <w:vAlign w:val="center"/>
            <w:tcMar>
              <w:top w:w="90" w:type="dxa"/>
              <w:start w:w="110" w:type="dxa"/>
              <w:bottom w:w="90" w:type="dxa"/>
              <w:end w:w="110" w:type="dxa"/>
            </w:tcMar>
          </w:tcPr>
          <w:p>
            <w:pPr>
              <w:spacing w:after="20"/>
            </w:pPr>
            <w:r>
              <w:rPr>
                <w:rFonts w:ascii="Aptos" w:hAnsi="Aptos"/>
                <w:color w:val="18313D"/>
                <w:sz w:val="17"/>
              </w:rPr>
              <w:t>95 passed, 0 failed, 3 warnings</w:t>
            </w:r>
          </w:p>
        </w:tc>
        <w:tc>
          <w:tcPr>
            <w:tcW w:type="dxa" w:w="3312"/>
            <w:vAlign w:val="center"/>
            <w:tcMar>
              <w:top w:w="90" w:type="dxa"/>
              <w:start w:w="110" w:type="dxa"/>
              <w:bottom w:w="90" w:type="dxa"/>
              <w:end w:w="110" w:type="dxa"/>
            </w:tcMar>
          </w:tcPr>
          <w:p>
            <w:pPr>
              <w:spacing w:after="20"/>
            </w:pPr>
            <w:r>
              <w:rPr>
                <w:rFonts w:ascii="Aptos" w:hAnsi="Aptos"/>
                <w:color w:val="18313D"/>
                <w:sz w:val="17"/>
              </w:rPr>
              <w:t>Local test suite; mocks and temporary/local data.</w:t>
            </w:r>
          </w:p>
        </w:tc>
      </w:tr>
      <w:tr>
        <w:tc>
          <w:tcPr>
            <w:tcW w:type="dxa" w:w="3312"/>
            <w:vAlign w:val="center"/>
            <w:tcMar>
              <w:top w:w="90" w:type="dxa"/>
              <w:start w:w="110" w:type="dxa"/>
              <w:bottom w:w="90" w:type="dxa"/>
              <w:end w:w="110" w:type="dxa"/>
            </w:tcMar>
            <w:shd w:fill="F2F7F8"/>
          </w:tcPr>
          <w:p>
            <w:pPr>
              <w:spacing w:after="20"/>
            </w:pPr>
            <w:r>
              <w:rPr>
                <w:rFonts w:ascii="Aptos" w:hAnsi="Aptos"/>
                <w:color w:val="18313D"/>
                <w:sz w:val="17"/>
              </w:rPr>
              <w:t>Focused auth/CORS/analysis/demo regressions</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7 passed</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Local only; mocked Auth/Storage and synthetic/temporary raster data.</w:t>
            </w:r>
          </w:p>
        </w:tc>
      </w:tr>
      <w:tr>
        <w:tc>
          <w:tcPr>
            <w:tcW w:type="dxa" w:w="3312"/>
            <w:vAlign w:val="center"/>
            <w:tcMar>
              <w:top w:w="90" w:type="dxa"/>
              <w:start w:w="110" w:type="dxa"/>
              <w:bottom w:w="90" w:type="dxa"/>
              <w:end w:w="110" w:type="dxa"/>
            </w:tcMar>
          </w:tcPr>
          <w:p>
            <w:pPr>
              <w:spacing w:after="20"/>
            </w:pPr>
            <w:r>
              <w:rPr>
                <w:rFonts w:ascii="Aptos" w:hAnsi="Aptos"/>
                <w:color w:val="18313D"/>
                <w:sz w:val="17"/>
              </w:rPr>
              <w:t>Frontend Vitest</w:t>
            </w:r>
          </w:p>
        </w:tc>
        <w:tc>
          <w:tcPr>
            <w:tcW w:type="dxa" w:w="3312"/>
            <w:vAlign w:val="center"/>
            <w:tcMar>
              <w:top w:w="90" w:type="dxa"/>
              <w:start w:w="110" w:type="dxa"/>
              <w:bottom w:w="90" w:type="dxa"/>
              <w:end w:w="110" w:type="dxa"/>
            </w:tcMar>
          </w:tcPr>
          <w:p>
            <w:pPr>
              <w:spacing w:after="20"/>
            </w:pPr>
            <w:r>
              <w:rPr>
                <w:rFonts w:ascii="Aptos" w:hAnsi="Aptos"/>
                <w:color w:val="18313D"/>
                <w:sz w:val="17"/>
              </w:rPr>
              <w:t>28 passed, 0 failed</w:t>
            </w:r>
          </w:p>
        </w:tc>
        <w:tc>
          <w:tcPr>
            <w:tcW w:type="dxa" w:w="3312"/>
            <w:vAlign w:val="center"/>
            <w:tcMar>
              <w:top w:w="90" w:type="dxa"/>
              <w:start w:w="110" w:type="dxa"/>
              <w:bottom w:w="90" w:type="dxa"/>
              <w:end w:w="110" w:type="dxa"/>
            </w:tcMar>
          </w:tcPr>
          <w:p>
            <w:pPr>
              <w:spacing w:after="20"/>
            </w:pPr>
            <w:r>
              <w:rPr>
                <w:rFonts w:ascii="Aptos" w:hAnsi="Aptos"/>
                <w:color w:val="18313D"/>
                <w:sz w:val="17"/>
              </w:rPr>
              <w:t>Local UI/API regression suite.</w:t>
            </w:r>
          </w:p>
        </w:tc>
      </w:tr>
      <w:tr>
        <w:tc>
          <w:tcPr>
            <w:tcW w:type="dxa" w:w="3312"/>
            <w:vAlign w:val="center"/>
            <w:tcMar>
              <w:top w:w="90" w:type="dxa"/>
              <w:start w:w="110" w:type="dxa"/>
              <w:bottom w:w="90" w:type="dxa"/>
              <w:end w:w="110" w:type="dxa"/>
            </w:tcMar>
            <w:shd w:fill="F2F7F8"/>
          </w:tcPr>
          <w:p>
            <w:pPr>
              <w:spacing w:after="20"/>
            </w:pPr>
            <w:r>
              <w:rPr>
                <w:rFonts w:ascii="Aptos" w:hAnsi="Aptos"/>
                <w:color w:val="18313D"/>
                <w:sz w:val="17"/>
              </w:rPr>
              <w:t>Vite production build</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Passed</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Local production bundle.</w:t>
            </w:r>
          </w:p>
        </w:tc>
      </w:tr>
      <w:tr>
        <w:tc>
          <w:tcPr>
            <w:tcW w:type="dxa" w:w="3312"/>
            <w:vAlign w:val="center"/>
            <w:tcMar>
              <w:top w:w="90" w:type="dxa"/>
              <w:start w:w="110" w:type="dxa"/>
              <w:bottom w:w="90" w:type="dxa"/>
              <w:end w:w="110" w:type="dxa"/>
            </w:tcMar>
          </w:tcPr>
          <w:p>
            <w:pPr>
              <w:spacing w:after="20"/>
            </w:pPr>
            <w:r>
              <w:rPr>
                <w:rFonts w:ascii="Aptos" w:hAnsi="Aptos"/>
                <w:color w:val="18313D"/>
                <w:sz w:val="17"/>
              </w:rPr>
              <w:t>Synthetic demo API</w:t>
            </w:r>
          </w:p>
        </w:tc>
        <w:tc>
          <w:tcPr>
            <w:tcW w:type="dxa" w:w="3312"/>
            <w:vAlign w:val="center"/>
            <w:tcMar>
              <w:top w:w="90" w:type="dxa"/>
              <w:start w:w="110" w:type="dxa"/>
              <w:bottom w:w="90" w:type="dxa"/>
              <w:end w:w="110" w:type="dxa"/>
            </w:tcMar>
          </w:tcPr>
          <w:p>
            <w:pPr>
              <w:spacing w:after="20"/>
            </w:pPr>
            <w:r>
              <w:rPr>
                <w:rFonts w:ascii="Aptos" w:hAnsi="Aptos"/>
                <w:color w:val="18313D"/>
                <w:sz w:val="17"/>
              </w:rPr>
              <w:t>HTTP 200; synthetic scenario</w:t>
            </w:r>
          </w:p>
        </w:tc>
        <w:tc>
          <w:tcPr>
            <w:tcW w:type="dxa" w:w="3312"/>
            <w:vAlign w:val="center"/>
            <w:tcMar>
              <w:top w:w="90" w:type="dxa"/>
              <w:start w:w="110" w:type="dxa"/>
              <w:bottom w:w="90" w:type="dxa"/>
              <w:end w:w="110" w:type="dxa"/>
            </w:tcMar>
          </w:tcPr>
          <w:p>
            <w:pPr>
              <w:spacing w:after="20"/>
            </w:pPr>
            <w:r>
              <w:rPr>
                <w:rFonts w:ascii="Aptos" w:hAnsi="Aptos"/>
                <w:color w:val="18313D"/>
                <w:sz w:val="17"/>
              </w:rPr>
              <w:t>Current local source, fixed 4 x 4 in-memory fixture.</w:t>
            </w:r>
          </w:p>
        </w:tc>
      </w:tr>
      <w:tr>
        <w:tc>
          <w:tcPr>
            <w:tcW w:type="dxa" w:w="3312"/>
            <w:vAlign w:val="center"/>
            <w:tcMar>
              <w:top w:w="90" w:type="dxa"/>
              <w:start w:w="110" w:type="dxa"/>
              <w:bottom w:w="90" w:type="dxa"/>
              <w:end w:w="110" w:type="dxa"/>
            </w:tcMar>
            <w:shd w:fill="F2F7F8"/>
          </w:tcPr>
          <w:p>
            <w:pPr>
              <w:spacing w:after="20"/>
            </w:pPr>
            <w:r>
              <w:rPr>
                <w:rFonts w:ascii="Aptos" w:hAnsi="Aptos"/>
                <w:color w:val="18313D"/>
                <w:sz w:val="17"/>
              </w:rPr>
              <w:t>npm audit --audit-level=high</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0 vulnerabilities reported</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Full frontend dependency audit.</w:t>
            </w:r>
          </w:p>
        </w:tc>
      </w:tr>
      <w:tr>
        <w:tc>
          <w:tcPr>
            <w:tcW w:type="dxa" w:w="3312"/>
            <w:vAlign w:val="center"/>
            <w:tcMar>
              <w:top w:w="90" w:type="dxa"/>
              <w:start w:w="110" w:type="dxa"/>
              <w:bottom w:w="90" w:type="dxa"/>
              <w:end w:w="110" w:type="dxa"/>
            </w:tcMar>
          </w:tcPr>
          <w:p>
            <w:pPr>
              <w:spacing w:after="20"/>
            </w:pPr>
            <w:r>
              <w:rPr>
                <w:rFonts w:ascii="Aptos" w:hAnsi="Aptos"/>
                <w:color w:val="18313D"/>
                <w:sz w:val="17"/>
              </w:rPr>
              <w:t>Python pip check</w:t>
            </w:r>
          </w:p>
        </w:tc>
        <w:tc>
          <w:tcPr>
            <w:tcW w:type="dxa" w:w="3312"/>
            <w:vAlign w:val="center"/>
            <w:tcMar>
              <w:top w:w="90" w:type="dxa"/>
              <w:start w:w="110" w:type="dxa"/>
              <w:bottom w:w="90" w:type="dxa"/>
              <w:end w:w="110" w:type="dxa"/>
            </w:tcMar>
          </w:tcPr>
          <w:p>
            <w:pPr>
              <w:spacing w:after="20"/>
            </w:pPr>
            <w:r>
              <w:rPr>
                <w:rFonts w:ascii="Aptos" w:hAnsi="Aptos"/>
                <w:color w:val="18313D"/>
                <w:sz w:val="17"/>
              </w:rPr>
              <w:t>Passed</w:t>
            </w:r>
          </w:p>
        </w:tc>
        <w:tc>
          <w:tcPr>
            <w:tcW w:type="dxa" w:w="3312"/>
            <w:vAlign w:val="center"/>
            <w:tcMar>
              <w:top w:w="90" w:type="dxa"/>
              <w:start w:w="110" w:type="dxa"/>
              <w:bottom w:w="90" w:type="dxa"/>
              <w:end w:w="110" w:type="dxa"/>
            </w:tcMar>
          </w:tcPr>
          <w:p>
            <w:pPr>
              <w:spacing w:after="20"/>
            </w:pPr>
            <w:r>
              <w:rPr>
                <w:rFonts w:ascii="Aptos" w:hAnsi="Aptos"/>
                <w:color w:val="18313D"/>
                <w:sz w:val="17"/>
              </w:rPr>
              <w:t>Installed dependencies have no reported conflicts.</w:t>
            </w:r>
          </w:p>
        </w:tc>
      </w:tr>
      <w:tr>
        <w:tc>
          <w:tcPr>
            <w:tcW w:type="dxa" w:w="3312"/>
            <w:vAlign w:val="center"/>
            <w:tcMar>
              <w:top w:w="90" w:type="dxa"/>
              <w:start w:w="110" w:type="dxa"/>
              <w:bottom w:w="90" w:type="dxa"/>
              <w:end w:w="110" w:type="dxa"/>
            </w:tcMar>
            <w:shd w:fill="F2F7F8"/>
          </w:tcPr>
          <w:p>
            <w:pPr>
              <w:spacing w:after="20"/>
            </w:pPr>
            <w:r>
              <w:rPr>
                <w:rFonts w:ascii="Aptos" w:hAnsi="Aptos"/>
                <w:color w:val="18313D"/>
                <w:sz w:val="17"/>
              </w:rPr>
              <w:t>Python dependency audit</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Not run</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pip-audit was not installed.</w:t>
            </w:r>
          </w:p>
        </w:tc>
      </w:tr>
      <w:tr>
        <w:tc>
          <w:tcPr>
            <w:tcW w:type="dxa" w:w="3312"/>
            <w:vAlign w:val="center"/>
            <w:tcMar>
              <w:top w:w="90" w:type="dxa"/>
              <w:start w:w="110" w:type="dxa"/>
              <w:bottom w:w="90" w:type="dxa"/>
              <w:end w:w="110" w:type="dxa"/>
            </w:tcMar>
          </w:tcPr>
          <w:p>
            <w:pPr>
              <w:spacing w:after="20"/>
            </w:pPr>
            <w:r>
              <w:rPr>
                <w:rFonts w:ascii="Aptos" w:hAnsi="Aptos"/>
                <w:color w:val="18313D"/>
                <w:sz w:val="17"/>
              </w:rPr>
              <w:t>Live cloud CRUD/auth</w:t>
            </w:r>
          </w:p>
        </w:tc>
        <w:tc>
          <w:tcPr>
            <w:tcW w:type="dxa" w:w="3312"/>
            <w:vAlign w:val="center"/>
            <w:tcMar>
              <w:top w:w="90" w:type="dxa"/>
              <w:start w:w="110" w:type="dxa"/>
              <w:bottom w:w="90" w:type="dxa"/>
              <w:end w:w="110" w:type="dxa"/>
            </w:tcMar>
          </w:tcPr>
          <w:p>
            <w:pPr>
              <w:spacing w:after="20"/>
            </w:pPr>
            <w:r>
              <w:rPr>
                <w:rFonts w:ascii="Aptos" w:hAnsi="Aptos"/>
                <w:color w:val="18313D"/>
                <w:sz w:val="17"/>
              </w:rPr>
              <w:t>Not verified</w:t>
            </w:r>
          </w:p>
        </w:tc>
        <w:tc>
          <w:tcPr>
            <w:tcW w:type="dxa" w:w="3312"/>
            <w:vAlign w:val="center"/>
            <w:tcMar>
              <w:top w:w="90" w:type="dxa"/>
              <w:start w:w="110" w:type="dxa"/>
              <w:bottom w:w="90" w:type="dxa"/>
              <w:end w:w="110" w:type="dxa"/>
            </w:tcMar>
          </w:tcPr>
          <w:p>
            <w:pPr>
              <w:spacing w:after="20"/>
            </w:pPr>
            <w:r>
              <w:rPr>
                <w:rFonts w:ascii="Aptos" w:hAnsi="Aptos"/>
                <w:color w:val="18313D"/>
                <w:sz w:val="17"/>
              </w:rPr>
              <w:t>No valid local cloud credentials.</w:t>
            </w:r>
          </w:p>
        </w:tc>
      </w:tr>
      <w:tr>
        <w:tc>
          <w:tcPr>
            <w:tcW w:type="dxa" w:w="3312"/>
            <w:vAlign w:val="center"/>
            <w:tcMar>
              <w:top w:w="90" w:type="dxa"/>
              <w:start w:w="110" w:type="dxa"/>
              <w:bottom w:w="90" w:type="dxa"/>
              <w:end w:w="110" w:type="dxa"/>
            </w:tcMar>
            <w:shd w:fill="F2F7F8"/>
          </w:tcPr>
          <w:p>
            <w:pPr>
              <w:spacing w:after="20"/>
            </w:pPr>
            <w:r>
              <w:rPr>
                <w:rFonts w:ascii="Aptos" w:hAnsi="Aptos"/>
                <w:color w:val="18313D"/>
                <w:sz w:val="17"/>
              </w:rPr>
              <w:t>Live Vercel frontend</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PASS: HTTP 200, stale bundle</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Browser loaded index-BEv36dup.js; no sign-in control was visible.</w:t>
            </w:r>
          </w:p>
        </w:tc>
      </w:tr>
      <w:tr>
        <w:tc>
          <w:tcPr>
            <w:tcW w:type="dxa" w:w="3312"/>
            <w:vAlign w:val="center"/>
            <w:tcMar>
              <w:top w:w="90" w:type="dxa"/>
              <w:start w:w="110" w:type="dxa"/>
              <w:bottom w:w="90" w:type="dxa"/>
              <w:end w:w="110" w:type="dxa"/>
            </w:tcMar>
          </w:tcPr>
          <w:p>
            <w:pPr>
              <w:spacing w:after="20"/>
            </w:pPr>
            <w:r>
              <w:rPr>
                <w:rFonts w:ascii="Aptos" w:hAnsi="Aptos"/>
                <w:color w:val="18313D"/>
                <w:sz w:val="17"/>
              </w:rPr>
              <w:t>Live Render health/readiness</w:t>
            </w:r>
          </w:p>
        </w:tc>
        <w:tc>
          <w:tcPr>
            <w:tcW w:type="dxa" w:w="3312"/>
            <w:vAlign w:val="center"/>
            <w:tcMar>
              <w:top w:w="90" w:type="dxa"/>
              <w:start w:w="110" w:type="dxa"/>
              <w:bottom w:w="90" w:type="dxa"/>
              <w:end w:w="110" w:type="dxa"/>
            </w:tcMar>
          </w:tcPr>
          <w:p>
            <w:pPr>
              <w:spacing w:after="20"/>
            </w:pPr>
            <w:r>
              <w:rPr>
                <w:rFonts w:ascii="Aptos" w:hAnsi="Aptos"/>
                <w:color w:val="18313D"/>
                <w:sz w:val="17"/>
              </w:rPr>
              <w:t>PASS: HTTP 200 after retry</w:t>
            </w:r>
          </w:p>
        </w:tc>
        <w:tc>
          <w:tcPr>
            <w:tcW w:type="dxa" w:w="3312"/>
            <w:vAlign w:val="center"/>
            <w:tcMar>
              <w:top w:w="90" w:type="dxa"/>
              <w:start w:w="110" w:type="dxa"/>
              <w:bottom w:w="90" w:type="dxa"/>
              <w:end w:w="110" w:type="dxa"/>
            </w:tcMar>
          </w:tcPr>
          <w:p>
            <w:pPr>
              <w:spacing w:after="20"/>
            </w:pPr>
            <w:r>
              <w:rPr>
                <w:rFonts w:ascii="Aptos" w:hAnsi="Aptos"/>
                <w:color w:val="18313D"/>
                <w:sz w:val="17"/>
              </w:rPr>
              <w:t>Initial 25-second requests timed out; longer retry succeeded.</w:t>
            </w:r>
          </w:p>
        </w:tc>
      </w:tr>
      <w:tr>
        <w:tc>
          <w:tcPr>
            <w:tcW w:type="dxa" w:w="3312"/>
            <w:vAlign w:val="center"/>
            <w:tcMar>
              <w:top w:w="90" w:type="dxa"/>
              <w:start w:w="110" w:type="dxa"/>
              <w:bottom w:w="90" w:type="dxa"/>
              <w:end w:w="110" w:type="dxa"/>
            </w:tcMar>
            <w:shd w:fill="F2F7F8"/>
          </w:tcPr>
          <w:p>
            <w:pPr>
              <w:spacing w:after="20"/>
            </w:pPr>
            <w:r>
              <w:rPr>
                <w:rFonts w:ascii="Aptos" w:hAnsi="Aptos"/>
                <w:color w:val="18313D"/>
                <w:sz w:val="17"/>
              </w:rPr>
              <w:t>Live results authorization</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FAIL: credentials not rejected</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Missing and malformed bearer requests returned HTTP 200; response bodies discarded.</w:t>
            </w:r>
          </w:p>
        </w:tc>
      </w:tr>
      <w:tr>
        <w:tc>
          <w:tcPr>
            <w:tcW w:type="dxa" w:w="3312"/>
            <w:vAlign w:val="center"/>
            <w:tcMar>
              <w:top w:w="90" w:type="dxa"/>
              <w:start w:w="110" w:type="dxa"/>
              <w:bottom w:w="90" w:type="dxa"/>
              <w:end w:w="110" w:type="dxa"/>
            </w:tcMar>
          </w:tcPr>
          <w:p>
            <w:pPr>
              <w:spacing w:after="20"/>
            </w:pPr>
            <w:r>
              <w:rPr>
                <w:rFonts w:ascii="Aptos" w:hAnsi="Aptos"/>
                <w:color w:val="18313D"/>
                <w:sz w:val="17"/>
              </w:rPr>
              <w:t>Live CORS Idempotency-Key</w:t>
            </w:r>
          </w:p>
        </w:tc>
        <w:tc>
          <w:tcPr>
            <w:tcW w:type="dxa" w:w="3312"/>
            <w:vAlign w:val="center"/>
            <w:tcMar>
              <w:top w:w="90" w:type="dxa"/>
              <w:start w:w="110" w:type="dxa"/>
              <w:bottom w:w="90" w:type="dxa"/>
              <w:end w:w="110" w:type="dxa"/>
            </w:tcMar>
          </w:tcPr>
          <w:p>
            <w:pPr>
              <w:spacing w:after="20"/>
            </w:pPr>
            <w:r>
              <w:rPr>
                <w:rFonts w:ascii="Aptos" w:hAnsi="Aptos"/>
                <w:color w:val="18313D"/>
                <w:sz w:val="17"/>
              </w:rPr>
              <w:t>FAIL: preflight HTTP 400</w:t>
            </w:r>
          </w:p>
        </w:tc>
        <w:tc>
          <w:tcPr>
            <w:tcW w:type="dxa" w:w="3312"/>
            <w:vAlign w:val="center"/>
            <w:tcMar>
              <w:top w:w="90" w:type="dxa"/>
              <w:start w:w="110" w:type="dxa"/>
              <w:bottom w:w="90" w:type="dxa"/>
              <w:end w:w="110" w:type="dxa"/>
            </w:tcMar>
          </w:tcPr>
          <w:p>
            <w:pPr>
              <w:spacing w:after="20"/>
            </w:pPr>
            <w:r>
              <w:rPr>
                <w:rFonts w:ascii="Aptos" w:hAnsi="Aptos"/>
                <w:color w:val="18313D"/>
                <w:sz w:val="17"/>
              </w:rPr>
              <w:t>Live Access-Control-Allow-Headers omitted the header.</w:t>
            </w:r>
          </w:p>
        </w:tc>
      </w:tr>
      <w:tr>
        <w:tc>
          <w:tcPr>
            <w:tcW w:type="dxa" w:w="3312"/>
            <w:vAlign w:val="center"/>
            <w:tcMar>
              <w:top w:w="90" w:type="dxa"/>
              <w:start w:w="110" w:type="dxa"/>
              <w:bottom w:w="90" w:type="dxa"/>
              <w:end w:w="110" w:type="dxa"/>
            </w:tcMar>
            <w:shd w:fill="F2F7F8"/>
          </w:tcPr>
          <w:p>
            <w:pPr>
              <w:spacing w:after="20"/>
            </w:pPr>
            <w:r>
              <w:rPr>
                <w:rFonts w:ascii="Aptos" w:hAnsi="Aptos"/>
                <w:color w:val="18313D"/>
                <w:sz w:val="17"/>
              </w:rPr>
              <w:t>Live API route parity</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FAIL: current routes absent</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Auth, persistence-status and synthetic-demo routes returned HTTP 404.</w:t>
            </w:r>
          </w:p>
        </w:tc>
      </w:tr>
      <w:tr>
        <w:tc>
          <w:tcPr>
            <w:tcW w:type="dxa" w:w="3312"/>
            <w:vAlign w:val="center"/>
            <w:tcMar>
              <w:top w:w="90" w:type="dxa"/>
              <w:start w:w="110" w:type="dxa"/>
              <w:bottom w:w="90" w:type="dxa"/>
              <w:end w:w="110" w:type="dxa"/>
            </w:tcMar>
          </w:tcPr>
          <w:p>
            <w:pPr>
              <w:spacing w:after="20"/>
            </w:pPr>
            <w:r>
              <w:rPr>
                <w:rFonts w:ascii="Aptos" w:hAnsi="Aptos"/>
                <w:color w:val="18313D"/>
                <w:sz w:val="17"/>
              </w:rPr>
              <w:t>Live DB/Auth/Storage/workflow</w:t>
            </w:r>
          </w:p>
        </w:tc>
        <w:tc>
          <w:tcPr>
            <w:tcW w:type="dxa" w:w="3312"/>
            <w:vAlign w:val="center"/>
            <w:tcMar>
              <w:top w:w="90" w:type="dxa"/>
              <w:start w:w="110" w:type="dxa"/>
              <w:bottom w:w="90" w:type="dxa"/>
              <w:end w:w="110" w:type="dxa"/>
            </w:tcMar>
          </w:tcPr>
          <w:p>
            <w:pPr>
              <w:spacing w:after="20"/>
            </w:pPr>
            <w:r>
              <w:rPr>
                <w:rFonts w:ascii="Aptos" w:hAnsi="Aptos"/>
                <w:color w:val="18313D"/>
                <w:sz w:val="17"/>
              </w:rPr>
              <w:t>BLOCKED</w:t>
            </w:r>
          </w:p>
        </w:tc>
        <w:tc>
          <w:tcPr>
            <w:tcW w:type="dxa" w:w="3312"/>
            <w:vAlign w:val="center"/>
            <w:tcMar>
              <w:top w:w="90" w:type="dxa"/>
              <w:start w:w="110" w:type="dxa"/>
              <w:bottom w:w="90" w:type="dxa"/>
              <w:end w:w="110" w:type="dxa"/>
            </w:tcMar>
          </w:tcPr>
          <w:p>
            <w:pPr>
              <w:spacing w:after="20"/>
            </w:pPr>
            <w:r>
              <w:rPr>
                <w:rFonts w:ascii="Aptos" w:hAnsi="Aptos"/>
                <w:color w:val="18313D"/>
                <w:sz w:val="17"/>
              </w:rPr>
              <w:t>No cloud credentials or valid GeoTIFF test input; no production writes attempted.</w:t>
            </w:r>
          </w:p>
        </w:tc>
      </w:tr>
      <w:tr>
        <w:tc>
          <w:tcPr>
            <w:tcW w:type="dxa" w:w="3312"/>
            <w:vAlign w:val="center"/>
            <w:tcMar>
              <w:top w:w="90" w:type="dxa"/>
              <w:start w:w="110" w:type="dxa"/>
              <w:bottom w:w="90" w:type="dxa"/>
              <w:end w:w="110" w:type="dxa"/>
            </w:tcMar>
            <w:shd w:fill="F2F7F8"/>
          </w:tcPr>
          <w:p>
            <w:pPr>
              <w:spacing w:after="20"/>
            </w:pPr>
            <w:r>
              <w:rPr>
                <w:rFonts w:ascii="Aptos" w:hAnsi="Aptos"/>
                <w:color w:val="18313D"/>
                <w:sz w:val="17"/>
              </w:rPr>
              <w:t>Live full analysis</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BLOCKED</w:t>
            </w:r>
          </w:p>
        </w:tc>
        <w:tc>
          <w:tcPr>
            <w:tcW w:type="dxa" w:w="3312"/>
            <w:vAlign w:val="center"/>
            <w:tcMar>
              <w:top w:w="90" w:type="dxa"/>
              <w:start w:w="110" w:type="dxa"/>
              <w:bottom w:w="90" w:type="dxa"/>
              <w:end w:w="110" w:type="dxa"/>
            </w:tcMar>
            <w:shd w:fill="F2F7F8"/>
          </w:tcPr>
          <w:p>
            <w:pPr>
              <w:spacing w:after="20"/>
            </w:pPr>
            <w:r>
              <w:rPr>
                <w:rFonts w:ascii="Aptos" w:hAnsi="Aptos"/>
                <w:color w:val="18313D"/>
                <w:sz w:val="17"/>
              </w:rPr>
              <w:t>Configured deployment was stale/different; no production mutation.</w:t>
            </w:r>
          </w:p>
        </w:tc>
      </w:tr>
    </w:tbl>
    <w:p>
      <w:pPr>
        <w:spacing w:after="20"/>
      </w:pPr>
    </w:p>
    <w:p>
      <w:r>
        <w:t>The backend suite emitted three warnings: a Starlette/httpx TestClient deprecation warning and two Alembic configuration deprecation warnings. No test failure was observed in that run.</w:t>
      </w:r>
    </w:p>
    <w:p>
      <w:pPr>
        <w:pStyle w:val="Heading1"/>
      </w:pPr>
      <w:r>
        <w:t>19. Performance evaluation</w:t>
      </w:r>
    </w:p>
    <w:p>
      <w:pPr>
        <w:spacing w:after="120"/>
      </w:pPr>
      <w:r>
        <w:t>A bounded local benchmark used deterministic synthetic 512 x 512 rasters and one request per simulated client. Before the Phase 14 changes, all requests succeeded at concurrency 1/5/10/25; after resource limits and per-process admission were introduced, one request was accepted and excess work was rejected with HTTP 503. The latest audit rerun is a separate single run; throughput of rejected attempts is not accepted-analysis capacity.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Mar>
              <w:top w:w="90" w:type="dxa"/>
              <w:start w:w="110" w:type="dxa"/>
              <w:bottom w:w="90" w:type="dxa"/>
              <w:end w:w="110" w:type="dxa"/>
            </w:tcMar>
            <w:shd w:fill="0F5261"/>
          </w:tcPr>
          <w:p>
            <w:pPr>
              <w:spacing w:after="20"/>
            </w:pPr>
            <w:r>
              <w:rPr>
                <w:rFonts w:ascii="Aptos" w:hAnsi="Aptos"/>
                <w:b/>
                <w:color w:val="FFFFFF"/>
                <w:sz w:val="17"/>
              </w:rPr>
              <w:t>Clients</w:t>
            </w:r>
          </w:p>
        </w:tc>
        <w:tc>
          <w:tcPr>
            <w:tcW w:type="dxa" w:w="1656"/>
            <w:vAlign w:val="center"/>
            <w:tcMar>
              <w:top w:w="90" w:type="dxa"/>
              <w:start w:w="110" w:type="dxa"/>
              <w:bottom w:w="90" w:type="dxa"/>
              <w:end w:w="110" w:type="dxa"/>
            </w:tcMar>
            <w:shd w:fill="0F5261"/>
          </w:tcPr>
          <w:p>
            <w:pPr>
              <w:spacing w:after="20"/>
            </w:pPr>
            <w:r>
              <w:rPr>
                <w:rFonts w:ascii="Aptos" w:hAnsi="Aptos"/>
                <w:b/>
                <w:color w:val="FFFFFF"/>
                <w:sz w:val="17"/>
              </w:rPr>
              <w:t>Earlier median/p95 ms</w:t>
            </w:r>
          </w:p>
        </w:tc>
        <w:tc>
          <w:tcPr>
            <w:tcW w:type="dxa" w:w="1656"/>
            <w:vAlign w:val="center"/>
            <w:tcMar>
              <w:top w:w="90" w:type="dxa"/>
              <w:start w:w="110" w:type="dxa"/>
              <w:bottom w:w="90" w:type="dxa"/>
              <w:end w:w="110" w:type="dxa"/>
            </w:tcMar>
            <w:shd w:fill="0F5261"/>
          </w:tcPr>
          <w:p>
            <w:pPr>
              <w:spacing w:after="20"/>
            </w:pPr>
            <w:r>
              <w:rPr>
                <w:rFonts w:ascii="Aptos" w:hAnsi="Aptos"/>
                <w:b/>
                <w:color w:val="FFFFFF"/>
                <w:sz w:val="17"/>
              </w:rPr>
              <w:t>Earlier sampled peak RSS bytes</w:t>
            </w:r>
          </w:p>
        </w:tc>
        <w:tc>
          <w:tcPr>
            <w:tcW w:type="dxa" w:w="1656"/>
            <w:vAlign w:val="center"/>
            <w:tcMar>
              <w:top w:w="90" w:type="dxa"/>
              <w:start w:w="110" w:type="dxa"/>
              <w:bottom w:w="90" w:type="dxa"/>
              <w:end w:w="110" w:type="dxa"/>
            </w:tcMar>
            <w:shd w:fill="0F5261"/>
          </w:tcPr>
          <w:p>
            <w:pPr>
              <w:spacing w:after="20"/>
            </w:pPr>
            <w:r>
              <w:rPr>
                <w:rFonts w:ascii="Aptos" w:hAnsi="Aptos"/>
                <w:b/>
                <w:color w:val="FFFFFF"/>
                <w:sz w:val="17"/>
              </w:rPr>
              <w:t>Later HTTP 200/503</w:t>
            </w:r>
          </w:p>
        </w:tc>
        <w:tc>
          <w:tcPr>
            <w:tcW w:type="dxa" w:w="1656"/>
            <w:vAlign w:val="center"/>
            <w:tcMar>
              <w:top w:w="90" w:type="dxa"/>
              <w:start w:w="110" w:type="dxa"/>
              <w:bottom w:w="90" w:type="dxa"/>
              <w:end w:w="110" w:type="dxa"/>
            </w:tcMar>
            <w:shd w:fill="0F5261"/>
          </w:tcPr>
          <w:p>
            <w:pPr>
              <w:spacing w:after="20"/>
            </w:pPr>
            <w:r>
              <w:rPr>
                <w:rFonts w:ascii="Aptos" w:hAnsi="Aptos"/>
                <w:b/>
                <w:color w:val="FFFFFF"/>
                <w:sz w:val="17"/>
              </w:rPr>
              <w:t>Accepted median/p95 ms</w:t>
            </w:r>
          </w:p>
        </w:tc>
        <w:tc>
          <w:tcPr>
            <w:tcW w:type="dxa" w:w="1656"/>
            <w:vAlign w:val="center"/>
            <w:tcMar>
              <w:top w:w="90" w:type="dxa"/>
              <w:start w:w="110" w:type="dxa"/>
              <w:bottom w:w="90" w:type="dxa"/>
              <w:end w:w="110" w:type="dxa"/>
            </w:tcMar>
            <w:shd w:fill="0F5261"/>
          </w:tcPr>
          <w:p>
            <w:pPr>
              <w:spacing w:after="20"/>
            </w:pPr>
            <w:r>
              <w:rPr>
                <w:rFonts w:ascii="Aptos" w:hAnsi="Aptos"/>
                <w:b/>
                <w:color w:val="FFFFFF"/>
                <w:sz w:val="17"/>
              </w:rPr>
              <w:t>Later sampled peak RSS bytes</w:t>
            </w:r>
          </w:p>
        </w:tc>
      </w:tr>
      <w:tr>
        <w:tc>
          <w:tcPr>
            <w:tcW w:type="dxa" w:w="1656"/>
            <w:vAlign w:val="center"/>
            <w:tcMar>
              <w:top w:w="90" w:type="dxa"/>
              <w:start w:w="110" w:type="dxa"/>
              <w:bottom w:w="90" w:type="dxa"/>
              <w:end w:w="110" w:type="dxa"/>
            </w:tcMar>
          </w:tcPr>
          <w:p>
            <w:pPr>
              <w:spacing w:after="20"/>
            </w:pPr>
            <w:r>
              <w:rPr>
                <w:rFonts w:ascii="Aptos" w:hAnsi="Aptos"/>
                <w:color w:val="18313D"/>
                <w:sz w:val="17"/>
              </w:rPr>
              <w:t>1</w:t>
            </w:r>
          </w:p>
        </w:tc>
        <w:tc>
          <w:tcPr>
            <w:tcW w:type="dxa" w:w="1656"/>
            <w:vAlign w:val="center"/>
            <w:tcMar>
              <w:top w:w="90" w:type="dxa"/>
              <w:start w:w="110" w:type="dxa"/>
              <w:bottom w:w="90" w:type="dxa"/>
              <w:end w:w="110" w:type="dxa"/>
            </w:tcMar>
          </w:tcPr>
          <w:p>
            <w:pPr>
              <w:spacing w:after="20"/>
            </w:pPr>
            <w:r>
              <w:rPr>
                <w:rFonts w:ascii="Aptos" w:hAnsi="Aptos"/>
                <w:color w:val="18313D"/>
                <w:sz w:val="17"/>
              </w:rPr>
              <w:t>535.01 / 535.01</w:t>
            </w:r>
          </w:p>
        </w:tc>
        <w:tc>
          <w:tcPr>
            <w:tcW w:type="dxa" w:w="1656"/>
            <w:vAlign w:val="center"/>
            <w:tcMar>
              <w:top w:w="90" w:type="dxa"/>
              <w:start w:w="110" w:type="dxa"/>
              <w:bottom w:w="90" w:type="dxa"/>
              <w:end w:w="110" w:type="dxa"/>
            </w:tcMar>
          </w:tcPr>
          <w:p>
            <w:pPr>
              <w:spacing w:after="20"/>
            </w:pPr>
            <w:r>
              <w:rPr>
                <w:rFonts w:ascii="Aptos" w:hAnsi="Aptos"/>
                <w:color w:val="18313D"/>
                <w:sz w:val="17"/>
              </w:rPr>
              <w:t>251,760,640</w:t>
            </w:r>
          </w:p>
        </w:tc>
        <w:tc>
          <w:tcPr>
            <w:tcW w:type="dxa" w:w="1656"/>
            <w:vAlign w:val="center"/>
            <w:tcMar>
              <w:top w:w="90" w:type="dxa"/>
              <w:start w:w="110" w:type="dxa"/>
              <w:bottom w:w="90" w:type="dxa"/>
              <w:end w:w="110" w:type="dxa"/>
            </w:tcMar>
          </w:tcPr>
          <w:p>
            <w:pPr>
              <w:spacing w:after="20"/>
            </w:pPr>
            <w:r>
              <w:rPr>
                <w:rFonts w:ascii="Aptos" w:hAnsi="Aptos"/>
                <w:color w:val="18313D"/>
                <w:sz w:val="17"/>
              </w:rPr>
              <w:t>1 / 0</w:t>
            </w:r>
          </w:p>
        </w:tc>
        <w:tc>
          <w:tcPr>
            <w:tcW w:type="dxa" w:w="1656"/>
            <w:vAlign w:val="center"/>
            <w:tcMar>
              <w:top w:w="90" w:type="dxa"/>
              <w:start w:w="110" w:type="dxa"/>
              <w:bottom w:w="90" w:type="dxa"/>
              <w:end w:w="110" w:type="dxa"/>
            </w:tcMar>
          </w:tcPr>
          <w:p>
            <w:pPr>
              <w:spacing w:after="20"/>
            </w:pPr>
            <w:r>
              <w:rPr>
                <w:rFonts w:ascii="Aptos" w:hAnsi="Aptos"/>
                <w:color w:val="18313D"/>
                <w:sz w:val="17"/>
              </w:rPr>
              <w:t>445.61 / 445.61</w:t>
            </w:r>
          </w:p>
        </w:tc>
        <w:tc>
          <w:tcPr>
            <w:tcW w:type="dxa" w:w="1656"/>
            <w:vAlign w:val="center"/>
            <w:tcMar>
              <w:top w:w="90" w:type="dxa"/>
              <w:start w:w="110" w:type="dxa"/>
              <w:bottom w:w="90" w:type="dxa"/>
              <w:end w:w="110" w:type="dxa"/>
            </w:tcMar>
          </w:tcPr>
          <w:p>
            <w:pPr>
              <w:spacing w:after="20"/>
            </w:pPr>
            <w:r>
              <w:rPr>
                <w:rFonts w:ascii="Aptos" w:hAnsi="Aptos"/>
                <w:color w:val="18313D"/>
                <w:sz w:val="17"/>
              </w:rPr>
              <w:t>245,297,152</w:t>
            </w:r>
          </w:p>
        </w:tc>
      </w:tr>
      <w:tr>
        <w:tc>
          <w:tcPr>
            <w:tcW w:type="dxa" w:w="1656"/>
            <w:vAlign w:val="center"/>
            <w:tcMar>
              <w:top w:w="90" w:type="dxa"/>
              <w:start w:w="110" w:type="dxa"/>
              <w:bottom w:w="90" w:type="dxa"/>
              <w:end w:w="110" w:type="dxa"/>
            </w:tcMar>
            <w:shd w:fill="F2F7F8"/>
          </w:tcPr>
          <w:p>
            <w:pPr>
              <w:spacing w:after="20"/>
            </w:pPr>
            <w:r>
              <w:rPr>
                <w:rFonts w:ascii="Aptos" w:hAnsi="Aptos"/>
                <w:color w:val="18313D"/>
                <w:sz w:val="17"/>
              </w:rPr>
              <w:t>5</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626.23 / 659.18</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373,923,840</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1 / 4</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384.91 / 384.91</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245,272,576</w:t>
            </w:r>
          </w:p>
        </w:tc>
      </w:tr>
      <w:tr>
        <w:tc>
          <w:tcPr>
            <w:tcW w:type="dxa" w:w="1656"/>
            <w:vAlign w:val="center"/>
            <w:tcMar>
              <w:top w:w="90" w:type="dxa"/>
              <w:start w:w="110" w:type="dxa"/>
              <w:bottom w:w="90" w:type="dxa"/>
              <w:end w:w="110" w:type="dxa"/>
            </w:tcMar>
          </w:tcPr>
          <w:p>
            <w:pPr>
              <w:spacing w:after="20"/>
            </w:pPr>
            <w:r>
              <w:rPr>
                <w:rFonts w:ascii="Aptos" w:hAnsi="Aptos"/>
                <w:color w:val="18313D"/>
                <w:sz w:val="17"/>
              </w:rPr>
              <w:t>10</w:t>
            </w:r>
          </w:p>
        </w:tc>
        <w:tc>
          <w:tcPr>
            <w:tcW w:type="dxa" w:w="1656"/>
            <w:vAlign w:val="center"/>
            <w:tcMar>
              <w:top w:w="90" w:type="dxa"/>
              <w:start w:w="110" w:type="dxa"/>
              <w:bottom w:w="90" w:type="dxa"/>
              <w:end w:w="110" w:type="dxa"/>
            </w:tcMar>
          </w:tcPr>
          <w:p>
            <w:pPr>
              <w:spacing w:after="20"/>
            </w:pPr>
            <w:r>
              <w:rPr>
                <w:rFonts w:ascii="Aptos" w:hAnsi="Aptos"/>
                <w:color w:val="18313D"/>
                <w:sz w:val="17"/>
              </w:rPr>
              <w:t>878.67 / 916.66</w:t>
            </w:r>
          </w:p>
        </w:tc>
        <w:tc>
          <w:tcPr>
            <w:tcW w:type="dxa" w:w="1656"/>
            <w:vAlign w:val="center"/>
            <w:tcMar>
              <w:top w:w="90" w:type="dxa"/>
              <w:start w:w="110" w:type="dxa"/>
              <w:bottom w:w="90" w:type="dxa"/>
              <w:end w:w="110" w:type="dxa"/>
            </w:tcMar>
          </w:tcPr>
          <w:p>
            <w:pPr>
              <w:spacing w:after="20"/>
            </w:pPr>
            <w:r>
              <w:rPr>
                <w:rFonts w:ascii="Aptos" w:hAnsi="Aptos"/>
                <w:color w:val="18313D"/>
                <w:sz w:val="17"/>
              </w:rPr>
              <w:t>492,388,352</w:t>
            </w:r>
          </w:p>
        </w:tc>
        <w:tc>
          <w:tcPr>
            <w:tcW w:type="dxa" w:w="1656"/>
            <w:vAlign w:val="center"/>
            <w:tcMar>
              <w:top w:w="90" w:type="dxa"/>
              <w:start w:w="110" w:type="dxa"/>
              <w:bottom w:w="90" w:type="dxa"/>
              <w:end w:w="110" w:type="dxa"/>
            </w:tcMar>
          </w:tcPr>
          <w:p>
            <w:pPr>
              <w:spacing w:after="20"/>
            </w:pPr>
            <w:r>
              <w:rPr>
                <w:rFonts w:ascii="Aptos" w:hAnsi="Aptos"/>
                <w:color w:val="18313D"/>
                <w:sz w:val="17"/>
              </w:rPr>
              <w:t>1 / 9</w:t>
            </w:r>
          </w:p>
        </w:tc>
        <w:tc>
          <w:tcPr>
            <w:tcW w:type="dxa" w:w="1656"/>
            <w:vAlign w:val="center"/>
            <w:tcMar>
              <w:top w:w="90" w:type="dxa"/>
              <w:start w:w="110" w:type="dxa"/>
              <w:bottom w:w="90" w:type="dxa"/>
              <w:end w:w="110" w:type="dxa"/>
            </w:tcMar>
          </w:tcPr>
          <w:p>
            <w:pPr>
              <w:spacing w:after="20"/>
            </w:pPr>
            <w:r>
              <w:rPr>
                <w:rFonts w:ascii="Aptos" w:hAnsi="Aptos"/>
                <w:color w:val="18313D"/>
                <w:sz w:val="17"/>
              </w:rPr>
              <w:t>358.39 / 358.39</w:t>
            </w:r>
          </w:p>
        </w:tc>
        <w:tc>
          <w:tcPr>
            <w:tcW w:type="dxa" w:w="1656"/>
            <w:vAlign w:val="center"/>
            <w:tcMar>
              <w:top w:w="90" w:type="dxa"/>
              <w:start w:w="110" w:type="dxa"/>
              <w:bottom w:w="90" w:type="dxa"/>
              <w:end w:w="110" w:type="dxa"/>
            </w:tcMar>
          </w:tcPr>
          <w:p>
            <w:pPr>
              <w:spacing w:after="20"/>
            </w:pPr>
            <w:r>
              <w:rPr>
                <w:rFonts w:ascii="Aptos" w:hAnsi="Aptos"/>
                <w:color w:val="18313D"/>
                <w:sz w:val="17"/>
              </w:rPr>
              <w:t>250,494,976</w:t>
            </w:r>
          </w:p>
        </w:tc>
      </w:tr>
      <w:tr>
        <w:tc>
          <w:tcPr>
            <w:tcW w:type="dxa" w:w="1656"/>
            <w:vAlign w:val="center"/>
            <w:tcMar>
              <w:top w:w="90" w:type="dxa"/>
              <w:start w:w="110" w:type="dxa"/>
              <w:bottom w:w="90" w:type="dxa"/>
              <w:end w:w="110" w:type="dxa"/>
            </w:tcMar>
            <w:shd w:fill="F2F7F8"/>
          </w:tcPr>
          <w:p>
            <w:pPr>
              <w:spacing w:after="20"/>
            </w:pPr>
            <w:r>
              <w:rPr>
                <w:rFonts w:ascii="Aptos" w:hAnsi="Aptos"/>
                <w:color w:val="18313D"/>
                <w:sz w:val="17"/>
              </w:rPr>
              <w:t>25</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2,201.30 / 2,242.87</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892,571,648</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1 / 24</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440.76 / 440.76</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249,253,888</w:t>
            </w:r>
          </w:p>
        </w:tc>
      </w:tr>
    </w:tbl>
    <w:p>
      <w:pPr>
        <w:spacing w:after="20"/>
      </w:pPr>
    </w:p>
    <w:p>
      <w:r>
        <w:t>Final-audit rerun (2026-10-10; Windows 11, Python 3.14.3, FastAPI TestClient, no database or cloud) reported all-request median/p95, accepted-analysis median/p95, attempt/accepted throughput, and sampled peak RSS as follows: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Mar>
              <w:top w:w="90" w:type="dxa"/>
              <w:start w:w="110" w:type="dxa"/>
              <w:bottom w:w="90" w:type="dxa"/>
              <w:end w:w="110" w:type="dxa"/>
            </w:tcMar>
            <w:shd w:fill="0F5261"/>
          </w:tcPr>
          <w:p>
            <w:pPr>
              <w:spacing w:after="20"/>
            </w:pPr>
            <w:r>
              <w:rPr>
                <w:rFonts w:ascii="Aptos" w:hAnsi="Aptos"/>
                <w:b/>
                <w:color w:val="FFFFFF"/>
                <w:sz w:val="17"/>
              </w:rPr>
              <w:t>Clients</w:t>
            </w:r>
          </w:p>
        </w:tc>
        <w:tc>
          <w:tcPr>
            <w:tcW w:type="dxa" w:w="1656"/>
            <w:vAlign w:val="center"/>
            <w:tcMar>
              <w:top w:w="90" w:type="dxa"/>
              <w:start w:w="110" w:type="dxa"/>
              <w:bottom w:w="90" w:type="dxa"/>
              <w:end w:w="110" w:type="dxa"/>
            </w:tcMar>
            <w:shd w:fill="0F5261"/>
          </w:tcPr>
          <w:p>
            <w:pPr>
              <w:spacing w:after="20"/>
            </w:pPr>
            <w:r>
              <w:rPr>
                <w:rFonts w:ascii="Aptos" w:hAnsi="Aptos"/>
                <w:b/>
                <w:color w:val="FFFFFF"/>
                <w:sz w:val="17"/>
              </w:rPr>
              <w:t>HTTP 200/503</w:t>
            </w:r>
          </w:p>
        </w:tc>
        <w:tc>
          <w:tcPr>
            <w:tcW w:type="dxa" w:w="1656"/>
            <w:vAlign w:val="center"/>
            <w:tcMar>
              <w:top w:w="90" w:type="dxa"/>
              <w:start w:w="110" w:type="dxa"/>
              <w:bottom w:w="90" w:type="dxa"/>
              <w:end w:w="110" w:type="dxa"/>
            </w:tcMar>
            <w:shd w:fill="0F5261"/>
          </w:tcPr>
          <w:p>
            <w:pPr>
              <w:spacing w:after="20"/>
            </w:pPr>
            <w:r>
              <w:rPr>
                <w:rFonts w:ascii="Aptos" w:hAnsi="Aptos"/>
                <w:b/>
                <w:color w:val="FFFFFF"/>
                <w:sz w:val="17"/>
              </w:rPr>
              <w:t>All median/p95 ms</w:t>
            </w:r>
          </w:p>
        </w:tc>
        <w:tc>
          <w:tcPr>
            <w:tcW w:type="dxa" w:w="1656"/>
            <w:vAlign w:val="center"/>
            <w:tcMar>
              <w:top w:w="90" w:type="dxa"/>
              <w:start w:w="110" w:type="dxa"/>
              <w:bottom w:w="90" w:type="dxa"/>
              <w:end w:w="110" w:type="dxa"/>
            </w:tcMar>
            <w:shd w:fill="0F5261"/>
          </w:tcPr>
          <w:p>
            <w:pPr>
              <w:spacing w:after="20"/>
            </w:pPr>
            <w:r>
              <w:rPr>
                <w:rFonts w:ascii="Aptos" w:hAnsi="Aptos"/>
                <w:b/>
                <w:color w:val="FFFFFF"/>
                <w:sz w:val="17"/>
              </w:rPr>
              <w:t>Accepted median/p95 ms</w:t>
            </w:r>
          </w:p>
        </w:tc>
        <w:tc>
          <w:tcPr>
            <w:tcW w:type="dxa" w:w="1656"/>
            <w:vAlign w:val="center"/>
            <w:tcMar>
              <w:top w:w="90" w:type="dxa"/>
              <w:start w:w="110" w:type="dxa"/>
              <w:bottom w:w="90" w:type="dxa"/>
              <w:end w:w="110" w:type="dxa"/>
            </w:tcMar>
            <w:shd w:fill="0F5261"/>
          </w:tcPr>
          <w:p>
            <w:pPr>
              <w:spacing w:after="20"/>
            </w:pPr>
            <w:r>
              <w:rPr>
                <w:rFonts w:ascii="Aptos" w:hAnsi="Aptos"/>
                <w:b/>
                <w:color w:val="FFFFFF"/>
                <w:sz w:val="17"/>
              </w:rPr>
              <w:t>Attempt/accepted per second</w:t>
            </w:r>
          </w:p>
        </w:tc>
        <w:tc>
          <w:tcPr>
            <w:tcW w:type="dxa" w:w="1656"/>
            <w:vAlign w:val="center"/>
            <w:tcMar>
              <w:top w:w="90" w:type="dxa"/>
              <w:start w:w="110" w:type="dxa"/>
              <w:bottom w:w="90" w:type="dxa"/>
              <w:end w:w="110" w:type="dxa"/>
            </w:tcMar>
            <w:shd w:fill="0F5261"/>
          </w:tcPr>
          <w:p>
            <w:pPr>
              <w:spacing w:after="20"/>
            </w:pPr>
            <w:r>
              <w:rPr>
                <w:rFonts w:ascii="Aptos" w:hAnsi="Aptos"/>
                <w:b/>
                <w:color w:val="FFFFFF"/>
                <w:sz w:val="17"/>
              </w:rPr>
              <w:t>Peak RSS bytes</w:t>
            </w:r>
          </w:p>
        </w:tc>
      </w:tr>
      <w:tr>
        <w:tc>
          <w:tcPr>
            <w:tcW w:type="dxa" w:w="1656"/>
            <w:vAlign w:val="center"/>
            <w:tcMar>
              <w:top w:w="90" w:type="dxa"/>
              <w:start w:w="110" w:type="dxa"/>
              <w:bottom w:w="90" w:type="dxa"/>
              <w:end w:w="110" w:type="dxa"/>
            </w:tcMar>
          </w:tcPr>
          <w:p>
            <w:pPr>
              <w:spacing w:after="20"/>
            </w:pPr>
            <w:r>
              <w:rPr>
                <w:rFonts w:ascii="Aptos" w:hAnsi="Aptos"/>
                <w:color w:val="18313D"/>
                <w:sz w:val="17"/>
              </w:rPr>
              <w:t>1</w:t>
            </w:r>
          </w:p>
        </w:tc>
        <w:tc>
          <w:tcPr>
            <w:tcW w:type="dxa" w:w="1656"/>
            <w:vAlign w:val="center"/>
            <w:tcMar>
              <w:top w:w="90" w:type="dxa"/>
              <w:start w:w="110" w:type="dxa"/>
              <w:bottom w:w="90" w:type="dxa"/>
              <w:end w:w="110" w:type="dxa"/>
            </w:tcMar>
          </w:tcPr>
          <w:p>
            <w:pPr>
              <w:spacing w:after="20"/>
            </w:pPr>
            <w:r>
              <w:rPr>
                <w:rFonts w:ascii="Aptos" w:hAnsi="Aptos"/>
                <w:color w:val="18313D"/>
                <w:sz w:val="17"/>
              </w:rPr>
              <w:t>1 / 0</w:t>
            </w:r>
          </w:p>
        </w:tc>
        <w:tc>
          <w:tcPr>
            <w:tcW w:type="dxa" w:w="1656"/>
            <w:vAlign w:val="center"/>
            <w:tcMar>
              <w:top w:w="90" w:type="dxa"/>
              <w:start w:w="110" w:type="dxa"/>
              <w:bottom w:w="90" w:type="dxa"/>
              <w:end w:w="110" w:type="dxa"/>
            </w:tcMar>
          </w:tcPr>
          <w:p>
            <w:pPr>
              <w:spacing w:after="20"/>
            </w:pPr>
            <w:r>
              <w:rPr>
                <w:rFonts w:ascii="Aptos" w:hAnsi="Aptos"/>
                <w:color w:val="18313D"/>
                <w:sz w:val="17"/>
              </w:rPr>
              <w:t>631.87 / 631.87</w:t>
            </w:r>
          </w:p>
        </w:tc>
        <w:tc>
          <w:tcPr>
            <w:tcW w:type="dxa" w:w="1656"/>
            <w:vAlign w:val="center"/>
            <w:tcMar>
              <w:top w:w="90" w:type="dxa"/>
              <w:start w:w="110" w:type="dxa"/>
              <w:bottom w:w="90" w:type="dxa"/>
              <w:end w:w="110" w:type="dxa"/>
            </w:tcMar>
          </w:tcPr>
          <w:p>
            <w:pPr>
              <w:spacing w:after="20"/>
            </w:pPr>
            <w:r>
              <w:rPr>
                <w:rFonts w:ascii="Aptos" w:hAnsi="Aptos"/>
                <w:color w:val="18313D"/>
                <w:sz w:val="17"/>
              </w:rPr>
              <w:t>631.87 / 631.87</w:t>
            </w:r>
          </w:p>
        </w:tc>
        <w:tc>
          <w:tcPr>
            <w:tcW w:type="dxa" w:w="1656"/>
            <w:vAlign w:val="center"/>
            <w:tcMar>
              <w:top w:w="90" w:type="dxa"/>
              <w:start w:w="110" w:type="dxa"/>
              <w:bottom w:w="90" w:type="dxa"/>
              <w:end w:w="110" w:type="dxa"/>
            </w:tcMar>
          </w:tcPr>
          <w:p>
            <w:pPr>
              <w:spacing w:after="20"/>
            </w:pPr>
            <w:r>
              <w:rPr>
                <w:rFonts w:ascii="Aptos" w:hAnsi="Aptos"/>
                <w:color w:val="18313D"/>
                <w:sz w:val="17"/>
              </w:rPr>
              <w:t>1.42 / 1.42</w:t>
            </w:r>
          </w:p>
        </w:tc>
        <w:tc>
          <w:tcPr>
            <w:tcW w:type="dxa" w:w="1656"/>
            <w:vAlign w:val="center"/>
            <w:tcMar>
              <w:top w:w="90" w:type="dxa"/>
              <w:start w:w="110" w:type="dxa"/>
              <w:bottom w:w="90" w:type="dxa"/>
              <w:end w:w="110" w:type="dxa"/>
            </w:tcMar>
          </w:tcPr>
          <w:p>
            <w:pPr>
              <w:spacing w:after="20"/>
            </w:pPr>
            <w:r>
              <w:rPr>
                <w:rFonts w:ascii="Aptos" w:hAnsi="Aptos"/>
                <w:color w:val="18313D"/>
                <w:sz w:val="17"/>
              </w:rPr>
              <w:t>239,943,680</w:t>
            </w:r>
          </w:p>
        </w:tc>
      </w:tr>
      <w:tr>
        <w:tc>
          <w:tcPr>
            <w:tcW w:type="dxa" w:w="1656"/>
            <w:vAlign w:val="center"/>
            <w:tcMar>
              <w:top w:w="90" w:type="dxa"/>
              <w:start w:w="110" w:type="dxa"/>
              <w:bottom w:w="90" w:type="dxa"/>
              <w:end w:w="110" w:type="dxa"/>
            </w:tcMar>
            <w:shd w:fill="F2F7F8"/>
          </w:tcPr>
          <w:p>
            <w:pPr>
              <w:spacing w:after="20"/>
            </w:pPr>
            <w:r>
              <w:rPr>
                <w:rFonts w:ascii="Aptos" w:hAnsi="Aptos"/>
                <w:color w:val="18313D"/>
                <w:sz w:val="17"/>
              </w:rPr>
              <w:t>5</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1 / 4</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49.98 / 1,774.40</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1,774.40 / 1,774.40</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2.56 / 0.51</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253,022,208</w:t>
            </w:r>
          </w:p>
        </w:tc>
      </w:tr>
      <w:tr>
        <w:tc>
          <w:tcPr>
            <w:tcW w:type="dxa" w:w="1656"/>
            <w:vAlign w:val="center"/>
            <w:tcMar>
              <w:top w:w="90" w:type="dxa"/>
              <w:start w:w="110" w:type="dxa"/>
              <w:bottom w:w="90" w:type="dxa"/>
              <w:end w:w="110" w:type="dxa"/>
            </w:tcMar>
          </w:tcPr>
          <w:p>
            <w:pPr>
              <w:spacing w:after="20"/>
            </w:pPr>
            <w:r>
              <w:rPr>
                <w:rFonts w:ascii="Aptos" w:hAnsi="Aptos"/>
                <w:color w:val="18313D"/>
                <w:sz w:val="17"/>
              </w:rPr>
              <w:t>10</w:t>
            </w:r>
          </w:p>
        </w:tc>
        <w:tc>
          <w:tcPr>
            <w:tcW w:type="dxa" w:w="1656"/>
            <w:vAlign w:val="center"/>
            <w:tcMar>
              <w:top w:w="90" w:type="dxa"/>
              <w:start w:w="110" w:type="dxa"/>
              <w:bottom w:w="90" w:type="dxa"/>
              <w:end w:w="110" w:type="dxa"/>
            </w:tcMar>
          </w:tcPr>
          <w:p>
            <w:pPr>
              <w:spacing w:after="20"/>
            </w:pPr>
            <w:r>
              <w:rPr>
                <w:rFonts w:ascii="Aptos" w:hAnsi="Aptos"/>
                <w:color w:val="18313D"/>
                <w:sz w:val="17"/>
              </w:rPr>
              <w:t>1 / 9</w:t>
            </w:r>
          </w:p>
        </w:tc>
        <w:tc>
          <w:tcPr>
            <w:tcW w:type="dxa" w:w="1656"/>
            <w:vAlign w:val="center"/>
            <w:tcMar>
              <w:top w:w="90" w:type="dxa"/>
              <w:start w:w="110" w:type="dxa"/>
              <w:bottom w:w="90" w:type="dxa"/>
              <w:end w:w="110" w:type="dxa"/>
            </w:tcMar>
          </w:tcPr>
          <w:p>
            <w:pPr>
              <w:spacing w:after="20"/>
            </w:pPr>
            <w:r>
              <w:rPr>
                <w:rFonts w:ascii="Aptos" w:hAnsi="Aptos"/>
                <w:color w:val="18313D"/>
                <w:sz w:val="17"/>
              </w:rPr>
              <w:t>74.86 / 928.00</w:t>
            </w:r>
          </w:p>
        </w:tc>
        <w:tc>
          <w:tcPr>
            <w:tcW w:type="dxa" w:w="1656"/>
            <w:vAlign w:val="center"/>
            <w:tcMar>
              <w:top w:w="90" w:type="dxa"/>
              <w:start w:w="110" w:type="dxa"/>
              <w:bottom w:w="90" w:type="dxa"/>
              <w:end w:w="110" w:type="dxa"/>
            </w:tcMar>
          </w:tcPr>
          <w:p>
            <w:pPr>
              <w:spacing w:after="20"/>
            </w:pPr>
            <w:r>
              <w:rPr>
                <w:rFonts w:ascii="Aptos" w:hAnsi="Aptos"/>
                <w:color w:val="18313D"/>
                <w:sz w:val="17"/>
              </w:rPr>
              <w:t>928.00 / 928.00</w:t>
            </w:r>
          </w:p>
        </w:tc>
        <w:tc>
          <w:tcPr>
            <w:tcW w:type="dxa" w:w="1656"/>
            <w:vAlign w:val="center"/>
            <w:tcMar>
              <w:top w:w="90" w:type="dxa"/>
              <w:start w:w="110" w:type="dxa"/>
              <w:bottom w:w="90" w:type="dxa"/>
              <w:end w:w="110" w:type="dxa"/>
            </w:tcMar>
          </w:tcPr>
          <w:p>
            <w:pPr>
              <w:spacing w:after="20"/>
            </w:pPr>
            <w:r>
              <w:rPr>
                <w:rFonts w:ascii="Aptos" w:hAnsi="Aptos"/>
                <w:color w:val="18313D"/>
                <w:sz w:val="17"/>
              </w:rPr>
              <w:t>9.74 / 0.97</w:t>
            </w:r>
          </w:p>
        </w:tc>
        <w:tc>
          <w:tcPr>
            <w:tcW w:type="dxa" w:w="1656"/>
            <w:vAlign w:val="center"/>
            <w:tcMar>
              <w:top w:w="90" w:type="dxa"/>
              <w:start w:w="110" w:type="dxa"/>
              <w:bottom w:w="90" w:type="dxa"/>
              <w:end w:w="110" w:type="dxa"/>
            </w:tcMar>
          </w:tcPr>
          <w:p>
            <w:pPr>
              <w:spacing w:after="20"/>
            </w:pPr>
            <w:r>
              <w:rPr>
                <w:rFonts w:ascii="Aptos" w:hAnsi="Aptos"/>
                <w:color w:val="18313D"/>
                <w:sz w:val="17"/>
              </w:rPr>
              <w:t>250,048,512</w:t>
            </w:r>
          </w:p>
        </w:tc>
      </w:tr>
      <w:tr>
        <w:tc>
          <w:tcPr>
            <w:tcW w:type="dxa" w:w="1656"/>
            <w:vAlign w:val="center"/>
            <w:tcMar>
              <w:top w:w="90" w:type="dxa"/>
              <w:start w:w="110" w:type="dxa"/>
              <w:bottom w:w="90" w:type="dxa"/>
              <w:end w:w="110" w:type="dxa"/>
            </w:tcMar>
            <w:shd w:fill="F2F7F8"/>
          </w:tcPr>
          <w:p>
            <w:pPr>
              <w:spacing w:after="20"/>
            </w:pPr>
            <w:r>
              <w:rPr>
                <w:rFonts w:ascii="Aptos" w:hAnsi="Aptos"/>
                <w:color w:val="18313D"/>
                <w:sz w:val="17"/>
              </w:rPr>
              <w:t>25</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1 / 24</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154.39 / 232.03</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1,896.34 / 1,896.34</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11.83 / 0.47</w:t>
            </w:r>
          </w:p>
        </w:tc>
        <w:tc>
          <w:tcPr>
            <w:tcW w:type="dxa" w:w="1656"/>
            <w:vAlign w:val="center"/>
            <w:tcMar>
              <w:top w:w="90" w:type="dxa"/>
              <w:start w:w="110" w:type="dxa"/>
              <w:bottom w:w="90" w:type="dxa"/>
              <w:end w:w="110" w:type="dxa"/>
            </w:tcMar>
            <w:shd w:fill="F2F7F8"/>
          </w:tcPr>
          <w:p>
            <w:pPr>
              <w:spacing w:after="20"/>
            </w:pPr>
            <w:r>
              <w:rPr>
                <w:rFonts w:ascii="Aptos" w:hAnsi="Aptos"/>
                <w:color w:val="18313D"/>
                <w:sz w:val="17"/>
              </w:rPr>
              <w:t>258,654,208</w:t>
            </w:r>
          </w:p>
        </w:tc>
      </w:tr>
    </w:tbl>
    <w:p>
      <w:pPr>
        <w:spacing w:after="20"/>
      </w:pPr>
    </w:p>
    <w:p>
      <w:r>
        <w:t>These are single local runs, not controlled benchmark statistics or deployment capacity claims. The latest rerun accepted one request at each level and intentionally rejected 80%/90%/96% at 5/10/25 clients. Its all-request latency is visibly variable and does not demonstrate an optimization. A separate warmed cProfile run attributed approximately 0.126 s to PNG encoding, 0.087 s to reading the selected input bands, and 0.10 s to local persistence. PostgreSQL, Supabase Storage, Vercel/Render latency, CPU model, and production load were not measured.</w:t>
      </w:r>
    </w:p>
    <w:p>
      <w:pPr>
        <w:pStyle w:val="Heading1"/>
      </w:pPr>
      <w:r>
        <w:t>20. Results and discussion</w:t>
      </w:r>
    </w:p>
    <w:p>
      <w:pPr>
        <w:spacing w:after="120"/>
      </w:pPr>
      <w:r>
        <w:t>The current synthetic demo endpoint returned a 4 x 4 fixture with 16 valid pixels. Its means were NDVI 0.278, McFeeters NDWI -0.297, and NDBI -0.017. Its five-class baseline assigned 8 pixels to Built-up, 4 to Vegetation, and 4 to Bare land; no pixels were assigned to Water or Agriculture. These values demonstrate reproducible software calculations on synthetic reflectance-like values only; they do not imply real land cover or scientific accuracy.</w:t>
      </w:r>
    </w:p>
    <w:p>
      <w:pPr>
        <w:spacing w:after="120"/>
      </w:pPr>
      <w:r>
        <w:t>The source's strongest verified contribution is a transparent local workflow with input checks, explicit limitations, deterministic demo behavior, test coverage and bounded process-level resource controls. The deployment mismatch and missing live cloud checks are release blockers for relying on the production URLs.</w:t>
      </w:r>
    </w:p>
    <w:p>
      <w:pPr>
        <w:pStyle w:val="Heading1"/>
      </w:pPr>
      <w:r>
        <w:t>21. Limitations</w:t>
      </w:r>
    </w:p>
    <w:p>
      <w:pPr>
        <w:pStyle w:val="ListBullet"/>
        <w:spacing w:after="60"/>
      </w:pPr>
      <w:r>
        <w:t>No verified live satellite search/download, AOI clipping, automatic warp/resampling, atmospheric correction, or cloud masking.</w:t>
      </w:r>
    </w:p>
    <w:p>
      <w:pPr>
        <w:pStyle w:val="ListBullet"/>
        <w:spacing w:after="60"/>
      </w:pPr>
      <w:r>
        <w:t>No bundled authoritative imagery or labeled ground truth; no supported supervised accuracy scores.</w:t>
      </w:r>
    </w:p>
    <w:p>
      <w:pPr>
        <w:pStyle w:val="ListBullet"/>
        <w:spacing w:after="60"/>
      </w:pPr>
      <w:r>
        <w:t>Rule-based classes and index thresholds are screening indicators and vary with sensor, calibration, season and preprocessing.</w:t>
      </w:r>
    </w:p>
    <w:p>
      <w:pPr>
        <w:pStyle w:val="ListBullet"/>
        <w:spacing w:after="60"/>
      </w:pPr>
      <w:r>
        <w:t>Raster tags are not independently verified provenance. Current/historical local layout provides little temporal evidence.</w:t>
      </w:r>
    </w:p>
    <w:p>
      <w:pPr>
        <w:pStyle w:val="ListBullet"/>
        <w:spacing w:after="60"/>
      </w:pPr>
      <w:r>
        <w:t>Core rasters are loaded into memory; limits are guards, not a hard total-memory ceiling.</w:t>
      </w:r>
    </w:p>
    <w:p>
      <w:pPr>
        <w:pStyle w:val="ListBullet"/>
        <w:spacing w:after="60"/>
      </w:pPr>
      <w:r>
        <w:t>Analysis is synchronous; no durable queue, cross-instance admission, cancellation, or claim of automatic restart/resume.</w:t>
      </w:r>
    </w:p>
    <w:p>
      <w:pPr>
        <w:pStyle w:val="ListBullet"/>
        <w:spacing w:after="60"/>
      </w:pPr>
      <w:r>
        <w:t>No live Supabase PostgreSQL, Auth or private Storage verification; cloud credentials were unavailable.</w:t>
      </w:r>
    </w:p>
    <w:p>
      <w:pPr>
        <w:pStyle w:val="ListBullet"/>
        <w:spacing w:after="60"/>
      </w:pPr>
      <w:r>
        <w:t>Production Vercel/Render builds and route surface were stale/different from the current checked-in source at last probe.</w:t>
      </w:r>
    </w:p>
    <w:p>
      <w:pPr>
        <w:pStyle w:val="Heading1"/>
      </w:pPr>
      <w:r>
        <w:t>22. Future enhancements</w:t>
      </w:r>
    </w:p>
    <w:p>
      <w:pPr>
        <w:pStyle w:val="ListBullet"/>
        <w:spacing w:after="60"/>
      </w:pPr>
      <w:r>
        <w:t>Redeploy matching frontend/backend versions, align exact CORS settings, and verify the authenticated cloud workflow.</w:t>
      </w:r>
    </w:p>
    <w:p>
      <w:pPr>
        <w:pStyle w:val="ListBullet"/>
        <w:spacing w:after="60"/>
      </w:pPr>
      <w:r>
        <w:t>Implement and validate a live satellite provider, retaining provider product identifiers, acquisition metadata and quality flags.</w:t>
      </w:r>
    </w:p>
    <w:p>
      <w:pPr>
        <w:pStyle w:val="ListBullet"/>
        <w:spacing w:after="60"/>
      </w:pPr>
      <w:r>
        <w:t>Add tested AOI geometry validation/clipping, CRS-aware reprojection and resampling policies, and cloud/shadow masking.</w:t>
      </w:r>
    </w:p>
    <w:p>
      <w:pPr>
        <w:pStyle w:val="ListBullet"/>
        <w:spacing w:after="60"/>
      </w:pPr>
      <w:r>
        <w:t>Assemble licensed, sensor-documented ground truth before training/evaluating a classifier; report class-wise metrics and uncertainty.</w:t>
      </w:r>
    </w:p>
    <w:p>
      <w:pPr>
        <w:pStyle w:val="ListBullet"/>
        <w:spacing w:after="60"/>
      </w:pPr>
      <w:r>
        <w:t>Build independent, time-aware forecast evaluation with sufficient dated observations and a persistence baseline.</w:t>
      </w:r>
    </w:p>
    <w:p>
      <w:pPr>
        <w:pStyle w:val="ListBullet"/>
        <w:spacing w:after="60"/>
      </w:pPr>
      <w:r>
        <w:t>Consider durable queue/worker architecture only after measuring demand and selecting supported hosting resources.</w:t>
      </w:r>
    </w:p>
    <w:p>
      <w:pPr>
        <w:pStyle w:val="ListBullet"/>
        <w:spacing w:after="60"/>
      </w:pPr>
      <w:r>
        <w:t>Add reproducible staging integration checks and verify signed private artifact access without mutating production user data.</w:t>
      </w:r>
    </w:p>
    <w:p>
      <w:pPr>
        <w:pStyle w:val="Heading1"/>
      </w:pPr>
      <w:r>
        <w:t>23. Conclusion</w:t>
      </w:r>
    </w:p>
    <w:p>
      <w:pPr>
        <w:spacing w:after="120"/>
      </w:pPr>
      <w:r>
        <w:t>Satellite Vision is a technically coherent local-first prototype that converts aligned raster bands into documented index products and transparent, explicitly unvalidated class indicators. Its deterministic synthetic demo and local test suites support a controlled hackathon presentation. It is not ready for production land-management decisions: satellite provenance, supervised accuracy, live cloud persistence, and the deployed user journey remain unverified. The local synthetic presentation is suitable for a demo; the current public Vercel/Render pair should be redeployed and checked before it is presented as a working live service.</w:t>
      </w:r>
    </w:p>
    <w:p>
      <w:pPr>
        <w:pStyle w:val="Heading1"/>
      </w:pPr>
      <w:r>
        <w:t>24. References</w:t>
      </w:r>
    </w:p>
    <w:p>
      <w:pPr>
        <w:pStyle w:val="ListBullet"/>
        <w:spacing w:after="60"/>
      </w:pPr>
      <w:r>
        <w:t>Project source, README, tests, deployment Blueprint and methodology, repository checkout (accessed 2026-10-10).</w:t>
      </w:r>
    </w:p>
    <w:p>
      <w:pPr>
        <w:pStyle w:val="ListBullet"/>
        <w:spacing w:after="60"/>
      </w:pPr>
      <w:r>
        <w:t>European Space Agency / Copernicus, Sentinel-2 mission and MSI documentation: https://sentiwiki.copernicus.eu/web/s2-mission</w:t>
      </w:r>
    </w:p>
    <w:p>
      <w:pPr>
        <w:pStyle w:val="ListBullet"/>
        <w:spacing w:after="60"/>
      </w:pPr>
      <w:r>
        <w:t>NASA Earth Observatory, Measuring Vegetation (NDVI overview): https://earthobservatory.nasa.gov/features/MeasuringVegetation</w:t>
      </w:r>
    </w:p>
    <w:p>
      <w:pPr>
        <w:pStyle w:val="ListBullet"/>
        <w:spacing w:after="60"/>
      </w:pPr>
      <w:r>
        <w:t>McFeeters, S. K. (1996). The use of the Normalized Difference Water Index (NDWI) in the delineation of open water features. International Journal of Remote Sensing. https://doi.org/10.1080/01431169608948714</w:t>
      </w:r>
    </w:p>
    <w:p>
      <w:pPr>
        <w:pStyle w:val="ListBullet"/>
        <w:spacing w:after="60"/>
      </w:pPr>
      <w:r>
        <w:t>Zha, Y., Gao, J., &amp; Ni, S. (2003). Use of normalized difference built-up index in automatically mapping urban areas from TM imagery. International Journal of Remote Sensing. https://doi.org/10.1080/01431160304987</w:t>
      </w:r>
    </w:p>
    <w:p>
      <w:pPr>
        <w:pStyle w:val="ListBullet"/>
        <w:spacing w:after="60"/>
      </w:pPr>
      <w:r>
        <w:t>Rasterio documentation: https://rasterio.readthedocs.io/en/stable/</w:t>
      </w:r>
    </w:p>
    <w:p>
      <w:pPr>
        <w:pStyle w:val="ListBullet"/>
        <w:spacing w:after="60"/>
      </w:pPr>
      <w:r>
        <w:t>NumPy documentation: https://numpy.org/doc/stable/</w:t>
      </w:r>
    </w:p>
    <w:p>
      <w:pPr>
        <w:pStyle w:val="ListBullet"/>
        <w:spacing w:after="60"/>
      </w:pPr>
      <w:r>
        <w:t>FastAPI documentation: https://fastapi.tiangolo.com/</w:t>
      </w:r>
    </w:p>
    <w:p>
      <w:pPr>
        <w:pStyle w:val="ListBullet"/>
        <w:spacing w:after="60"/>
      </w:pPr>
      <w:r>
        <w:t>React documentation: https://react.dev/</w:t>
      </w:r>
    </w:p>
    <w:p>
      <w:pPr>
        <w:pStyle w:val="ListBullet"/>
        <w:spacing w:after="60"/>
      </w:pPr>
      <w:r>
        <w:t>Vite documentation: https://vite.dev/guide/</w:t>
      </w:r>
    </w:p>
    <w:p>
      <w:pPr>
        <w:pStyle w:val="ListBullet"/>
        <w:spacing w:after="60"/>
      </w:pPr>
      <w:r>
        <w:t>Supabase Auth documentation: https://supabase.com/docs/guides/auth</w:t>
      </w:r>
    </w:p>
    <w:p>
      <w:pPr>
        <w:pStyle w:val="ListBullet"/>
        <w:spacing w:after="60"/>
      </w:pPr>
      <w:r>
        <w:t>Supabase Storage bucket access documentation: https://supabase.com/docs/guides/storage/buckets/fundamentals</w:t>
      </w:r>
    </w:p>
    <w:p>
      <w:pPr>
        <w:pStyle w:val="ListBullet"/>
        <w:spacing w:after="60"/>
      </w:pPr>
      <w:r>
        <w:t>Alembic documentation: https://alembic.sqlalchemy.org/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E78"/>
        <w:sz w:val="16"/>
      </w:rPr>
      <w:t xml:space="preserve">Satellite Vision | Phase 16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SATELLITE VISION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35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526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526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526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