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4910"/>
        <w:gridCol w:w="4910"/>
      </w:tblGrid>
      <w:tr w:rsidR="00B22F8A" w14:paraId="33741C68" w14:textId="77777777" w:rsidTr="00D040B5">
        <w:tc>
          <w:tcPr>
            <w:tcW w:w="9820" w:type="dxa"/>
            <w:gridSpan w:val="2"/>
          </w:tcPr>
          <w:p w14:paraId="621A3661" w14:textId="055B8F8F" w:rsidR="00B22F8A" w:rsidRPr="002C48CF" w:rsidRDefault="005467F9" w:rsidP="001E207A">
            <w:pPr>
              <w:pStyle w:val="papertitle"/>
            </w:pPr>
            <w:bookmarkStart w:id="0" w:name="PaperTitle"/>
            <w:r>
              <w:t>Clinically-Aligned Fusion of Experts for First-Trimester Pregnancy-Loss Prediction: An Interpretable, Compute-Efficient Hybrid and a Component-Level Ablation of Its Accuracy</w:t>
            </w:r>
          </w:p>
          <w:bookmarkEnd w:id="0"/>
        </w:tc>
      </w:tr>
      <w:tr w:rsidR="00B22F8A" w14:paraId="3D7EBDB0" w14:textId="77777777" w:rsidTr="00D040B5">
        <w:tc>
          <w:tcPr>
            <w:tcW w:w="4910" w:type="dxa"/>
          </w:tcPr>
          <w:p w14:paraId="087295B4" w14:textId="7C2237E9" w:rsidR="00B22F8A" w:rsidRDefault="00B22F8A" w:rsidP="001E7A2C">
            <w:pPr>
              <w:pStyle w:val="AuthorData"/>
            </w:pPr>
            <w:bookmarkStart w:id="1" w:name="AuthorName" w:colFirst="1" w:colLast="1"/>
            <w:commentRangeStart w:id="2"/>
            <w:r>
              <w:rPr>
                <w:sz w:val="21"/>
              </w:rPr>
              <w:t>Mr. A. V. M. Kumaran</w:t>
            </w:r>
            <w:r>
              <w:rPr>
                <w:sz w:val="21"/>
              </w:rPr>
              <w:br/>
            </w:r>
            <w:r>
              <w:rPr>
                <w:i/>
                <w:sz w:val="21"/>
              </w:rPr>
              <w:t>Research Scholar, PG &amp; Research Department of Computer Science, Government Arts College (Autonomous), Nandanam, Chennai – 600 035</w:t>
            </w:r>
            <w:r>
              <w:rPr>
                <w:sz w:val="21"/>
              </w:rPr>
              <w:br/>
            </w:r>
            <w:r>
              <w:rPr>
                <w:sz w:val="21"/>
              </w:rPr>
              <w:t>avmprofessor@gmail.com</w:t>
            </w:r>
          </w:p>
        </w:tc>
        <w:tc>
          <w:tcPr>
            <w:tcW w:w="4910" w:type="dxa"/>
          </w:tcPr>
          <w:p w14:paraId="2EE5DEA7" w14:textId="2BE41202" w:rsidR="00B22F8A" w:rsidRPr="001B106F" w:rsidRDefault="00B22F8A" w:rsidP="001E7A2C">
            <w:pPr>
              <w:pStyle w:val="AuthorData"/>
            </w:pPr>
            <w:r>
              <w:rPr>
                <w:sz w:val="21"/>
              </w:rPr>
              <w:t>Dr. M. Sundara Rajan</w:t>
            </w:r>
            <w:r>
              <w:rPr>
                <w:sz w:val="21"/>
              </w:rPr>
              <w:br/>
            </w:r>
            <w:r>
              <w:rPr>
                <w:i/>
                <w:sz w:val="21"/>
              </w:rPr>
              <w:t>Associate Professor, PG &amp; Research Department of Computer Science, Government Arts College (Autonomous), Nandanam, Chennai – 600 035.</w:t>
            </w:r>
          </w:p>
        </w:tc>
      </w:tr>
      <w:bookmarkEnd w:id="1"/>
    </w:tbl>
    <w:p w14:paraId="423FDE5B" w14:textId="77777777" w:rsidR="00B22F8A" w:rsidRDefault="00B22F8A" w:rsidP="00B22F8A">
      <w:pPr>
        <w:jc w:val="center"/>
      </w:pPr>
      <w:r>
        <w:rPr>
          <w:i/>
          <w:sz w:val="18"/>
        </w:rPr>
        <w:t>Corresponding author: Mr. A. V. M. Kumaran. Email: avmprofessor@gmail.com</w:t>
      </w:r>
    </w:p>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pPr>
        <w:pStyle w:val="Abstract"/>
        <w:spacing w:after="60"/>
      </w:pPr>
      <w:r>
        <w:t xml:space="preserve">Abstract — </w:t>
      </w:r>
      <w:r>
        <w:rPr>
          <w:b/>
        </w:rPr>
        <w:t>Background.</w:t>
      </w:r>
      <w:r>
        <w:t xml:space="preserve"> Multimodal clinical prediction is conventionally approached by engineering domain-specific features, assigning specialist encoders to different views of the patient, and combining those encoders with a learned per-patient gate. The premise is that modality-specific specialisation recovers signal a single joint model would miss. That premise is widely adopted and rarely tested against its own counterfactual.</w:t>
      </w:r>
    </w:p>
    <w:p>
      <w:pPr>
        <w:pStyle w:val="Abstract"/>
        <w:spacing w:after="60"/>
      </w:pPr>
      <w:r>
        <w:rPr>
          <w:b/>
        </w:rPr>
        <w:t>Objective.</w:t>
      </w:r>
      <w:r>
        <w:t xml:space="preserve"> To build such a system for first-trimester pregnancy-loss prediction, to evaluate it beyond discrimination alone, and to determine by controlled ablation which of its components actually produce its accuracy.</w:t>
      </w:r>
    </w:p>
    <w:p>
      <w:pPr>
        <w:pStyle w:val="Abstract"/>
        <w:spacing w:after="60"/>
      </w:pPr>
      <w:r>
        <w:rPr>
          <w:b/>
        </w:rPr>
        <w:t>Methods.</w:t>
      </w:r>
      <w:r>
        <w:t xml:space="preserve"> We developed </w:t>
      </w:r>
      <w:r>
        <w:rPr>
          <w:b/>
        </w:rPr>
        <w:t>CAFE (Clinically-Aligned Fusion of Experts)</w:t>
      </w:r>
      <w:r>
        <w:t>: 43 engineered features in five clinically motivated families — gestational normalisation, temporal trajectory, growth velocity, inter-marker discordance, and maternal risk profile — together with tree experts over a flat view and a cross-modal view, an optional 12,585-parameter temporal attention encoder over the raw scan sequence, and a per-patient softmax gate over expert logits. Evaluation used a synthetic dual-etiology cohort (n = 3000, prevalence 20.3 %) under 5×2 repeated stratified cross-validation. Every arm, hybrid and baseline alike, received an identical 66-feature union view, so no result can be attributed to an information advantage. Reported measures were AUROC, AUPRC, Brier score, Cox calibration slope and intercept, expected calibration error, decision-curve analysis, and a screening operating point selected on one cross-validation repeat and scored on the other. A difference was declared real only if it exceeded twice the pooled fold standard deviation and agreed in sign on at least 8 of 10 folds.</w:t>
      </w:r>
    </w:p>
    <w:p>
      <w:pPr>
        <w:pStyle w:val="Abstract"/>
        <w:spacing w:after="60"/>
      </w:pPr>
      <w:r>
        <w:rPr>
          <w:b/>
        </w:rPr>
        <w:t>Results.</w:t>
      </w:r>
      <w:r>
        <w:t xml:space="preserve"> CAFE reached AUROC 0.852 — the highest point estimate recorded in this research programme and inside the 0.840–0.855 band predicted for it in advance — with a calibration slope of 0.946 and expected calibration error of 0.030 without post-hoc correction, the highest mean net benefit across risk thresholds 0.05–0.50, and a training time of 43 s against 269 s for the deep temporal architecture it replaces. Its accuracy, however, does not originate in its architecture. Replacing the gated multi-view ensemble with a single gradient-boosted tree on the same features changed AUROC by +0.001. Decomposing the +0.030 total improvement over logistic regression attributed </w:t>
      </w:r>
      <w:r>
        <w:rPr>
          <w:b/>
        </w:rPr>
        <w:t>+0.021 to the choice of boosting library</w:t>
      </w:r>
      <w:r>
        <w:t xml:space="preserve">, </w:t>
      </w:r>
      <w:r>
        <w:rPr>
          <w:b/>
        </w:rPr>
        <w:t>+0.015 to the engineered features but only for a learner unable to represent interactions natively</w:t>
      </w:r>
      <w:r>
        <w:t xml:space="preserve"> — the same features were worth +0.002 to the deployed learner, and their benefit across four learners was monotonically inversely proportional to native interaction capacity — </w:t>
      </w:r>
      <w:r>
        <w:rPr>
          <w:b/>
        </w:rPr>
        <w:t>+0.001 to the gated fusion</w:t>
      </w:r>
      <w:r>
        <w:t xml:space="preserve">, and </w:t>
      </w:r>
      <w:r>
        <w:rPr>
          <w:b/>
        </w:rPr>
        <w:t>−0.005 to the sequence encoder</w:t>
      </w:r>
      <w:r>
        <w:t>, which the gate independently learned to discount (weight 0.195 against an equal share of 0.333). Two further findings emerged from evaluating beyond discrimination. Feature importance and feature contribution pointed in opposite directions: out-of-fold exact TreeSHAP assigned the engineered block 66.8 % of total attribution mass and ranked a discordance feature third overall, while ablation valued that block at 0.002 AUROC for the deployed model. And the gate proved confidently per-patient and clinically legible yet inconsequential: its weights were near-bimodal (mean 0.557, SD 0.402, spanning 0–1), routing patients with abnormal yolk-sac measurements to the cross-modal expert and patients with prominent maternal risk to the flat expert — a policy nobody specified, and worth +0.001.</w:t>
      </w:r>
    </w:p>
    <w:p>
      <w:pPr>
        <w:pStyle w:val="Abstract"/>
        <w:spacing w:after="60"/>
      </w:pPr>
      <w:r>
        <w:rPr>
          <w:b/>
        </w:rPr>
        <w:t>Conclusions.</w:t>
      </w:r>
      <w:r>
        <w:t xml:space="preserve"> The only dimension along which the arms genuinely separated was calibration, which no part of the original proposal had identified as the place to look: XGBoost-derived arms had calibration slopes of 0.430–0.480 against 0.923–0.946 for CatBoost-derived arms, with non-overlapping per-fold distributions, while their AUROCs differed by 0.021 and their Brier scores tied. Consequently the 90 %-sensitivity thresholds spanned 0.004 to 0.081 across arms, so any workflow with a hard-coded risk threshold is silently coupled to one model's calibration. CAFE is worth deploying; the explanation for why it performs as it does is not the one its architecture suggests. All data are synthetic; the findings concern modelling methodology and carry no clinical implication for real pregnancies.</w:t>
      </w:r>
    </w:p>
    <w:p>
      <w:pPr>
        <w:pStyle w:val="Abstract"/>
      </w:pPr>
    </w:p>
    <w:p>
      <w:pPr>
        <w:pStyle w:val="Abstract"/>
      </w:pPr>
      <w:r>
        <w:t>Index Terms — multimodal fusion, mixture of experts, clinical feature engineering, model calibration, decision-curve analysis, SHAP, ablation, early pregnancy loss, synthetic clinical benchmarks</w:t>
      </w:r>
    </w:p>
    <w:p>
      <w:pPr>
        <w:pStyle w:val="Heading1"/>
      </w:pPr>
      <w:r>
        <w:t>Abbreviations</w:t>
      </w:r>
    </w:p>
    <w:tbl>
      <w:tblPr>
        <w:tblW w:w="467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0" w:type="dxa"/>
          <w:left w:w="72" w:type="dxa"/>
          <w:bottom w:w="20" w:type="dxa"/>
          <w:right w:w="72" w:type="dxa"/>
        </w:tblCellMar>
        <w:tblLook w:val="0000"/>
      </w:tblPr>
      <w:tblGrid>
        <w:gridCol w:w="4910"/>
        <w:gridCol w:w="4910"/>
      </w:tblGrid>
      <w:tr>
        <w:trPr>
          <w:cantSplit/>
          <w:tblHeader/>
        </w:trPr>
        <w:tc>
          <w:tcPr>
            <w:tcW w:type="dxa" w:w="775"/>
          </w:tcPr>
          <w:p>
            <w:pPr>
              <w:pStyle w:val="TableHead"/>
            </w:pPr>
            <w:r/>
            <w:r>
              <w:rPr>
                <w:sz w:val="16"/>
              </w:rPr>
              <w:t>Term</w:t>
            </w:r>
          </w:p>
        </w:tc>
        <w:tc>
          <w:tcPr>
            <w:tcW w:type="dxa" w:w="3904"/>
          </w:tcPr>
          <w:p>
            <w:pPr>
              <w:pStyle w:val="TableHead"/>
            </w:pPr>
            <w:r/>
            <w:r>
              <w:rPr>
                <w:sz w:val="16"/>
              </w:rPr>
              <w:t>Expansion</w:t>
            </w:r>
          </w:p>
        </w:tc>
      </w:tr>
      <w:tr>
        <w:trPr>
          <w:cantSplit/>
        </w:trPr>
        <w:tc>
          <w:tcPr>
            <w:tcW w:type="dxa" w:w="775"/>
          </w:tcPr>
          <w:p>
            <w:pPr>
              <w:pStyle w:val="Tabletext"/>
            </w:pPr>
            <w:r/>
            <w:r>
              <w:rPr>
                <w:sz w:val="16"/>
              </w:rPr>
              <w:t>AUROC</w:t>
            </w:r>
          </w:p>
        </w:tc>
        <w:tc>
          <w:tcPr>
            <w:tcW w:type="dxa" w:w="3904"/>
          </w:tcPr>
          <w:p>
            <w:pPr>
              <w:pStyle w:val="Tabletext"/>
            </w:pPr>
            <w:r/>
            <w:r>
              <w:rPr>
                <w:sz w:val="16"/>
              </w:rPr>
              <w:t>Area under the receiver-operating-characteristic curve</w:t>
            </w:r>
          </w:p>
        </w:tc>
      </w:tr>
      <w:tr>
        <w:trPr>
          <w:cantSplit/>
        </w:trPr>
        <w:tc>
          <w:tcPr>
            <w:tcW w:type="dxa" w:w="775"/>
          </w:tcPr>
          <w:p>
            <w:pPr>
              <w:pStyle w:val="Tabletext"/>
            </w:pPr>
            <w:r/>
            <w:r>
              <w:rPr>
                <w:sz w:val="16"/>
              </w:rPr>
              <w:t>AUPRC</w:t>
            </w:r>
          </w:p>
        </w:tc>
        <w:tc>
          <w:tcPr>
            <w:tcW w:type="dxa" w:w="3904"/>
          </w:tcPr>
          <w:p>
            <w:pPr>
              <w:pStyle w:val="Tabletext"/>
            </w:pPr>
            <w:r/>
            <w:r>
              <w:rPr>
                <w:sz w:val="16"/>
              </w:rPr>
              <w:t>Area under the precision–recall curve</w:t>
            </w:r>
          </w:p>
        </w:tc>
      </w:tr>
      <w:tr>
        <w:trPr>
          <w:cantSplit/>
        </w:trPr>
        <w:tc>
          <w:tcPr>
            <w:tcW w:type="dxa" w:w="775"/>
          </w:tcPr>
          <w:p>
            <w:pPr>
              <w:pStyle w:val="Tabletext"/>
            </w:pPr>
            <w:r/>
            <w:r>
              <w:rPr>
                <w:sz w:val="16"/>
              </w:rPr>
              <w:t>BMI</w:t>
            </w:r>
          </w:p>
        </w:tc>
        <w:tc>
          <w:tcPr>
            <w:tcW w:type="dxa" w:w="3904"/>
          </w:tcPr>
          <w:p>
            <w:pPr>
              <w:pStyle w:val="Tabletext"/>
            </w:pPr>
            <w:r/>
            <w:r>
              <w:rPr>
                <w:sz w:val="16"/>
              </w:rPr>
              <w:t>Body mass index</w:t>
            </w:r>
          </w:p>
        </w:tc>
      </w:tr>
      <w:tr>
        <w:trPr>
          <w:cantSplit/>
        </w:trPr>
        <w:tc>
          <w:tcPr>
            <w:tcW w:type="dxa" w:w="775"/>
          </w:tcPr>
          <w:p>
            <w:pPr>
              <w:pStyle w:val="Tabletext"/>
            </w:pPr>
            <w:r/>
            <w:r>
              <w:rPr>
                <w:sz w:val="16"/>
              </w:rPr>
              <w:t>CAFE</w:t>
            </w:r>
          </w:p>
        </w:tc>
        <w:tc>
          <w:tcPr>
            <w:tcW w:type="dxa" w:w="3904"/>
          </w:tcPr>
          <w:p>
            <w:pPr>
              <w:pStyle w:val="Tabletext"/>
            </w:pPr>
            <w:r/>
            <w:r>
              <w:rPr>
                <w:sz w:val="16"/>
              </w:rPr>
              <w:t>Clinically-Aligned Fusion of Experts (the system proposed here)</w:t>
            </w:r>
          </w:p>
        </w:tc>
      </w:tr>
      <w:tr>
        <w:trPr>
          <w:cantSplit/>
        </w:trPr>
        <w:tc>
          <w:tcPr>
            <w:tcW w:type="dxa" w:w="775"/>
          </w:tcPr>
          <w:p>
            <w:pPr>
              <w:pStyle w:val="Tabletext"/>
            </w:pPr>
            <w:r/>
            <w:r>
              <w:rPr>
                <w:sz w:val="16"/>
              </w:rPr>
              <w:t>CRL</w:t>
            </w:r>
          </w:p>
        </w:tc>
        <w:tc>
          <w:tcPr>
            <w:tcW w:type="dxa" w:w="3904"/>
          </w:tcPr>
          <w:p>
            <w:pPr>
              <w:pStyle w:val="Tabletext"/>
            </w:pPr>
            <w:r/>
            <w:r>
              <w:rPr>
                <w:sz w:val="16"/>
              </w:rPr>
              <w:t>Crown–rump length</w:t>
            </w:r>
          </w:p>
        </w:tc>
      </w:tr>
      <w:tr>
        <w:trPr>
          <w:cantSplit/>
        </w:trPr>
        <w:tc>
          <w:tcPr>
            <w:tcW w:type="dxa" w:w="775"/>
          </w:tcPr>
          <w:p>
            <w:pPr>
              <w:pStyle w:val="Tabletext"/>
            </w:pPr>
            <w:r/>
            <w:r>
              <w:rPr>
                <w:sz w:val="16"/>
              </w:rPr>
              <w:t>CV</w:t>
            </w:r>
          </w:p>
        </w:tc>
        <w:tc>
          <w:tcPr>
            <w:tcW w:type="dxa" w:w="3904"/>
          </w:tcPr>
          <w:p>
            <w:pPr>
              <w:pStyle w:val="Tabletext"/>
            </w:pPr>
            <w:r/>
            <w:r>
              <w:rPr>
                <w:sz w:val="16"/>
              </w:rPr>
              <w:t>Cross-validation</w:t>
            </w:r>
          </w:p>
        </w:tc>
      </w:tr>
      <w:tr>
        <w:trPr>
          <w:cantSplit/>
        </w:trPr>
        <w:tc>
          <w:tcPr>
            <w:tcW w:type="dxa" w:w="775"/>
          </w:tcPr>
          <w:p>
            <w:pPr>
              <w:pStyle w:val="Tabletext"/>
            </w:pPr>
            <w:r/>
            <w:r>
              <w:rPr>
                <w:sz w:val="16"/>
              </w:rPr>
              <w:t>DCA</w:t>
            </w:r>
          </w:p>
        </w:tc>
        <w:tc>
          <w:tcPr>
            <w:tcW w:type="dxa" w:w="3904"/>
          </w:tcPr>
          <w:p>
            <w:pPr>
              <w:pStyle w:val="Tabletext"/>
            </w:pPr>
            <w:r/>
            <w:r>
              <w:rPr>
                <w:sz w:val="16"/>
              </w:rPr>
              <w:t>Decision-curve analysis</w:t>
            </w:r>
          </w:p>
        </w:tc>
      </w:tr>
      <w:tr>
        <w:trPr>
          <w:cantSplit/>
        </w:trPr>
        <w:tc>
          <w:tcPr>
            <w:tcW w:type="dxa" w:w="775"/>
          </w:tcPr>
          <w:p>
            <w:pPr>
              <w:pStyle w:val="Tabletext"/>
            </w:pPr>
            <w:r/>
            <w:r>
              <w:rPr>
                <w:sz w:val="16"/>
              </w:rPr>
              <w:t>ECE</w:t>
            </w:r>
          </w:p>
        </w:tc>
        <w:tc>
          <w:tcPr>
            <w:tcW w:type="dxa" w:w="3904"/>
          </w:tcPr>
          <w:p>
            <w:pPr>
              <w:pStyle w:val="Tabletext"/>
            </w:pPr>
            <w:r/>
            <w:r>
              <w:rPr>
                <w:sz w:val="16"/>
              </w:rPr>
              <w:t>Expected calibration error</w:t>
            </w:r>
          </w:p>
        </w:tc>
      </w:tr>
      <w:tr>
        <w:trPr>
          <w:cantSplit/>
        </w:trPr>
        <w:tc>
          <w:tcPr>
            <w:tcW w:type="dxa" w:w="775"/>
          </w:tcPr>
          <w:p>
            <w:pPr>
              <w:pStyle w:val="Tabletext"/>
            </w:pPr>
            <w:r/>
            <w:r>
              <w:rPr>
                <w:sz w:val="16"/>
              </w:rPr>
              <w:t>FHR</w:t>
            </w:r>
          </w:p>
        </w:tc>
        <w:tc>
          <w:tcPr>
            <w:tcW w:type="dxa" w:w="3904"/>
          </w:tcPr>
          <w:p>
            <w:pPr>
              <w:pStyle w:val="Tabletext"/>
            </w:pPr>
            <w:r/>
            <w:r>
              <w:rPr>
                <w:sz w:val="16"/>
              </w:rPr>
              <w:t>Fetal heart rate</w:t>
            </w:r>
          </w:p>
        </w:tc>
      </w:tr>
      <w:tr>
        <w:trPr>
          <w:cantSplit/>
        </w:trPr>
        <w:tc>
          <w:tcPr>
            <w:tcW w:type="dxa" w:w="775"/>
          </w:tcPr>
          <w:p>
            <w:pPr>
              <w:pStyle w:val="Tabletext"/>
            </w:pPr>
            <w:r/>
            <w:r>
              <w:rPr>
                <w:sz w:val="16"/>
              </w:rPr>
              <w:t>GA</w:t>
            </w:r>
          </w:p>
        </w:tc>
        <w:tc>
          <w:tcPr>
            <w:tcW w:type="dxa" w:w="3904"/>
          </w:tcPr>
          <w:p>
            <w:pPr>
              <w:pStyle w:val="Tabletext"/>
            </w:pPr>
            <w:r/>
            <w:r>
              <w:rPr>
                <w:sz w:val="16"/>
              </w:rPr>
              <w:t>Gestational age</w:t>
            </w:r>
          </w:p>
        </w:tc>
      </w:tr>
      <w:tr>
        <w:trPr>
          <w:cantSplit/>
        </w:trPr>
        <w:tc>
          <w:tcPr>
            <w:tcW w:type="dxa" w:w="775"/>
          </w:tcPr>
          <w:p>
            <w:pPr>
              <w:pStyle w:val="Tabletext"/>
            </w:pPr>
            <w:r/>
            <w:r>
              <w:rPr>
                <w:sz w:val="16"/>
              </w:rPr>
              <w:t>GS</w:t>
            </w:r>
          </w:p>
        </w:tc>
        <w:tc>
          <w:tcPr>
            <w:tcW w:type="dxa" w:w="3904"/>
          </w:tcPr>
          <w:p>
            <w:pPr>
              <w:pStyle w:val="Tabletext"/>
            </w:pPr>
            <w:r/>
            <w:r>
              <w:rPr>
                <w:sz w:val="16"/>
              </w:rPr>
              <w:t>Mean gestational-sac diameter</w:t>
            </w:r>
          </w:p>
        </w:tc>
      </w:tr>
      <w:tr>
        <w:trPr>
          <w:cantSplit/>
        </w:trPr>
        <w:tc>
          <w:tcPr>
            <w:tcW w:type="dxa" w:w="775"/>
          </w:tcPr>
          <w:p>
            <w:pPr>
              <w:pStyle w:val="Tabletext"/>
            </w:pPr>
            <w:r/>
            <w:r>
              <w:rPr>
                <w:sz w:val="16"/>
              </w:rPr>
              <w:t>HGB</w:t>
            </w:r>
          </w:p>
        </w:tc>
        <w:tc>
          <w:tcPr>
            <w:tcW w:type="dxa" w:w="3904"/>
          </w:tcPr>
          <w:p>
            <w:pPr>
              <w:pStyle w:val="Tabletext"/>
            </w:pPr>
            <w:r/>
            <w:r>
              <w:rPr>
                <w:sz w:val="16"/>
              </w:rPr>
              <w:t>HistGradientBoosting</w:t>
            </w:r>
          </w:p>
        </w:tc>
      </w:tr>
      <w:tr>
        <w:trPr>
          <w:cantSplit/>
        </w:trPr>
        <w:tc>
          <w:tcPr>
            <w:tcW w:type="dxa" w:w="775"/>
          </w:tcPr>
          <w:p>
            <w:pPr>
              <w:pStyle w:val="Tabletext"/>
            </w:pPr>
            <w:r/>
            <w:r>
              <w:rPr>
                <w:sz w:val="16"/>
              </w:rPr>
              <w:t>IVF</w:t>
            </w:r>
          </w:p>
        </w:tc>
        <w:tc>
          <w:tcPr>
            <w:tcW w:type="dxa" w:w="3904"/>
          </w:tcPr>
          <w:p>
            <w:pPr>
              <w:pStyle w:val="Tabletext"/>
            </w:pPr>
            <w:r/>
            <w:r>
              <w:rPr>
                <w:sz w:val="16"/>
              </w:rPr>
              <w:t>In-vitro fertilisation</w:t>
            </w:r>
          </w:p>
        </w:tc>
      </w:tr>
      <w:tr>
        <w:trPr>
          <w:cantSplit/>
        </w:trPr>
        <w:tc>
          <w:tcPr>
            <w:tcW w:type="dxa" w:w="775"/>
          </w:tcPr>
          <w:p>
            <w:pPr>
              <w:pStyle w:val="Tabletext"/>
            </w:pPr>
            <w:r/>
            <w:r>
              <w:rPr>
                <w:sz w:val="16"/>
              </w:rPr>
              <w:t>MLP</w:t>
            </w:r>
          </w:p>
        </w:tc>
        <w:tc>
          <w:tcPr>
            <w:tcW w:type="dxa" w:w="3904"/>
          </w:tcPr>
          <w:p>
            <w:pPr>
              <w:pStyle w:val="Tabletext"/>
            </w:pPr>
            <w:r/>
            <w:r>
              <w:rPr>
                <w:sz w:val="16"/>
              </w:rPr>
              <w:t>Multilayer perceptron</w:t>
            </w:r>
          </w:p>
        </w:tc>
      </w:tr>
      <w:tr>
        <w:trPr>
          <w:cantSplit/>
        </w:trPr>
        <w:tc>
          <w:tcPr>
            <w:tcW w:type="dxa" w:w="775"/>
          </w:tcPr>
          <w:p>
            <w:pPr>
              <w:pStyle w:val="Tabletext"/>
            </w:pPr>
            <w:r/>
            <w:r>
              <w:rPr>
                <w:sz w:val="16"/>
              </w:rPr>
              <w:t>MoE</w:t>
            </w:r>
          </w:p>
        </w:tc>
        <w:tc>
          <w:tcPr>
            <w:tcW w:type="dxa" w:w="3904"/>
          </w:tcPr>
          <w:p>
            <w:pPr>
              <w:pStyle w:val="Tabletext"/>
            </w:pPr>
            <w:r/>
            <w:r>
              <w:rPr>
                <w:sz w:val="16"/>
              </w:rPr>
              <w:t>Mixture of experts</w:t>
            </w:r>
          </w:p>
        </w:tc>
      </w:tr>
      <w:tr>
        <w:trPr>
          <w:cantSplit/>
        </w:trPr>
        <w:tc>
          <w:tcPr>
            <w:tcW w:type="dxa" w:w="775"/>
          </w:tcPr>
          <w:p>
            <w:pPr>
              <w:pStyle w:val="Tabletext"/>
            </w:pPr>
            <w:r/>
            <w:r>
              <w:rPr>
                <w:sz w:val="16"/>
              </w:rPr>
              <w:t>NPV</w:t>
            </w:r>
          </w:p>
        </w:tc>
        <w:tc>
          <w:tcPr>
            <w:tcW w:type="dxa" w:w="3904"/>
          </w:tcPr>
          <w:p>
            <w:pPr>
              <w:pStyle w:val="Tabletext"/>
            </w:pPr>
            <w:r/>
            <w:r>
              <w:rPr>
                <w:sz w:val="16"/>
              </w:rPr>
              <w:t>Negative predictive value</w:t>
            </w:r>
          </w:p>
        </w:tc>
      </w:tr>
      <w:tr>
        <w:trPr>
          <w:cantSplit/>
        </w:trPr>
        <w:tc>
          <w:tcPr>
            <w:tcW w:type="dxa" w:w="775"/>
          </w:tcPr>
          <w:p>
            <w:pPr>
              <w:pStyle w:val="Tabletext"/>
            </w:pPr>
            <w:r/>
            <w:r>
              <w:rPr>
                <w:sz w:val="16"/>
              </w:rPr>
              <w:t>OOF</w:t>
            </w:r>
          </w:p>
        </w:tc>
        <w:tc>
          <w:tcPr>
            <w:tcW w:type="dxa" w:w="3904"/>
          </w:tcPr>
          <w:p>
            <w:pPr>
              <w:pStyle w:val="Tabletext"/>
            </w:pPr>
            <w:r/>
            <w:r>
              <w:rPr>
                <w:sz w:val="16"/>
              </w:rPr>
              <w:t>Out of fold</w:t>
            </w:r>
          </w:p>
        </w:tc>
      </w:tr>
      <w:tr>
        <w:trPr>
          <w:cantSplit/>
        </w:trPr>
        <w:tc>
          <w:tcPr>
            <w:tcW w:type="dxa" w:w="775"/>
          </w:tcPr>
          <w:p>
            <w:pPr>
              <w:pStyle w:val="Tabletext"/>
            </w:pPr>
            <w:r/>
            <w:r>
              <w:rPr>
                <w:sz w:val="16"/>
              </w:rPr>
              <w:t>PPV</w:t>
            </w:r>
          </w:p>
        </w:tc>
        <w:tc>
          <w:tcPr>
            <w:tcW w:type="dxa" w:w="3904"/>
          </w:tcPr>
          <w:p>
            <w:pPr>
              <w:pStyle w:val="Tabletext"/>
            </w:pPr>
            <w:r/>
            <w:r>
              <w:rPr>
                <w:sz w:val="16"/>
              </w:rPr>
              <w:t>Positive predictive value</w:t>
            </w:r>
          </w:p>
        </w:tc>
      </w:tr>
      <w:tr>
        <w:trPr>
          <w:cantSplit/>
        </w:trPr>
        <w:tc>
          <w:tcPr>
            <w:tcW w:type="dxa" w:w="775"/>
          </w:tcPr>
          <w:p>
            <w:pPr>
              <w:pStyle w:val="Tabletext"/>
            </w:pPr>
            <w:r/>
            <w:r>
              <w:rPr>
                <w:sz w:val="16"/>
              </w:rPr>
              <w:t>SHAP</w:t>
            </w:r>
          </w:p>
        </w:tc>
        <w:tc>
          <w:tcPr>
            <w:tcW w:type="dxa" w:w="3904"/>
          </w:tcPr>
          <w:p>
            <w:pPr>
              <w:pStyle w:val="Tabletext"/>
            </w:pPr>
            <w:r/>
            <w:r>
              <w:rPr>
                <w:sz w:val="16"/>
              </w:rPr>
              <w:t>SHapley Additive exPlanations</w:t>
            </w:r>
          </w:p>
        </w:tc>
      </w:tr>
      <w:tr>
        <w:trPr>
          <w:cantSplit/>
        </w:trPr>
        <w:tc>
          <w:tcPr>
            <w:tcW w:type="dxa" w:w="775"/>
          </w:tcPr>
          <w:p>
            <w:pPr>
              <w:pStyle w:val="Tabletext"/>
            </w:pPr>
            <w:r/>
            <w:r>
              <w:rPr>
                <w:sz w:val="16"/>
              </w:rPr>
              <w:t>YSD</w:t>
            </w:r>
          </w:p>
        </w:tc>
        <w:tc>
          <w:tcPr>
            <w:tcW w:type="dxa" w:w="3904"/>
          </w:tcPr>
          <w:p>
            <w:pPr>
              <w:pStyle w:val="Tabletext"/>
            </w:pPr>
            <w:r/>
            <w:r>
              <w:rPr>
                <w:sz w:val="16"/>
              </w:rPr>
              <w:t>Yolk-sac diameter</w:t>
            </w:r>
          </w:p>
        </w:tc>
      </w:tr>
    </w:tbl>
    <w:p>
      <w:pPr/>
    </w:p>
    <w:p>
      <w:pPr>
        <w:pStyle w:val="Heading1"/>
      </w:pPr>
      <w:r>
        <w:t>1. Introduction</w:t>
      </w:r>
    </w:p>
    <w:p>
      <w:pPr>
        <w:pStyle w:val="Heading2"/>
      </w:pPr>
      <w:r>
        <w:t>1.1 The problem, and the shape of the data</w:t>
      </w:r>
    </w:p>
    <w:p>
      <w:pPr>
        <w:pStyle w:val="BodyTextIndent"/>
      </w:pPr>
      <w:r>
        <w:t>Approximately one in five clinically recognised pregnancies ends in first-trimester loss. The data available to a clinician at that stage are inherently multimodal and asymmetric: a short, irregularly spaced sequence of ultrasound examinations, each yielding a handful of biometric measurements, set against a fixed panel of maternal clinical covariates recorded once at booking.</w:t>
      </w:r>
    </w:p>
    <w:p>
      <w:pPr>
        <w:pStyle w:val="BodyTextIndent"/>
      </w:pPr>
      <w:r>
        <w:t>Both halves of that description are awkward for modern modelling. The sequence is far too short for the sequence models that dominate longitudinal healthcare work — two to five visits, not hundreds of time steps — and the covariate panel is too small for representation learning to have much to discover. This is an unglamorous regime, and it is the regime that most first-trimester prediction problems actually occupy.</w:t>
      </w:r>
    </w:p>
    <w:p>
      <w:pPr>
        <w:pStyle w:val="Heading2"/>
      </w:pPr>
      <w:r>
        <w:t>1.2 The prevailing architectural response</w:t>
      </w:r>
    </w:p>
    <w:p>
      <w:pPr>
        <w:pStyle w:val="BodyTextIndent"/>
      </w:pPr>
      <w:r>
        <w:t>The dominant modelling response has been architectural. A temporal encoder is assigned to the scan trajectory, a separate encoder to the maternal covariates, and a learned fusion mechanism — concatenation, cross-attention, or a gate — combines them. The implicit premise is that modality-specific specialisation recovers signal that a single joint model would miss.</w:t>
      </w:r>
    </w:p>
    <w:p>
      <w:pPr>
        <w:pStyle w:val="BodyTextIndent"/>
      </w:pPr>
      <w:r>
        <w:t>The premise is plausible, and it is the reason such systems are built. It is also, in the published literature, seldom accompanied by the measurement that would establish it: the same information, given whole to one ordinary model.</w:t>
      </w:r>
    </w:p>
    <w:p>
      <w:pPr>
        <w:pStyle w:val="Heading2"/>
      </w:pPr>
      <w:r>
        <w:t>1.3 What this paper delivers, in plain terms</w:t>
      </w:r>
    </w:p>
    <w:p>
      <w:pPr>
        <w:pStyle w:val="BodyTextIndent"/>
      </w:pPr>
      <w:r>
        <w:t xml:space="preserve">We built the hybrid that this line of reasoning recommends, in the specific form a reviewer of our earlier work proposed: five families of clinically-aligned engineered features, three encoders operating on different </w:t>
      </w:r>
      <w:r>
        <w:rPr>
          <w:i/>
        </w:rPr>
        <w:t>views</w:t>
      </w:r>
      <w:r>
        <w:t xml:space="preserve"> of the same patient — a flat tabular view, a sequence view, and an interaction view — and a per-patient gate that learns how much to trust each encoder for each individual patient.</w:t>
      </w:r>
    </w:p>
    <w:p>
      <w:pPr>
        <w:pStyle w:val="BodyTextIndent"/>
      </w:pPr>
      <w:r>
        <w:rPr>
          <w:b/>
        </w:rPr>
        <w:t>It works.</w:t>
      </w:r>
      <w:r>
        <w:t xml:space="preserve"> It reaches AUROC 0.852 on our evaluation cohort, the highest point estimate recorded anywhere in this research programme. It trains in well under a minute per fold. It is well calibrated with no post-hoc correction. Its predictions decompose into per-patient feature attributions a clinician can read, and its gate emits a per-patient trust score for each encoder.</w:t>
      </w:r>
    </w:p>
    <w:p>
      <w:pPr>
        <w:pStyle w:val="BodyTextIndent"/>
      </w:pPr>
      <w:r>
        <w:rPr>
          <w:b/>
        </w:rPr>
        <w:t>And its accuracy does not come from its architecture.</w:t>
      </w:r>
      <w:r>
        <w:t xml:space="preserve"> When we hold everything else fixed and remove the fusion mechanism — replacing the gated ensemble of view-specific experts with a single gradient-boosted tree trained on the union of the same features — the score moves by +0.001 AUROC, far inside noise. The engineered features do contribute, but overwhelmingly to </w:t>
      </w:r>
      <w:r>
        <w:rPr>
          <w:i/>
        </w:rPr>
        <w:t>weak</w:t>
      </w:r>
      <w:r>
        <w:t xml:space="preserve"> learners: they lift logistic regression by +0.015 and CatBoost by +0.002. The single largest contributor to the final number is neither the features nor the fusion but the choice of boosting library underneath, worth +0.021 on its own. The sequence encoder, given a fair budget and a fair gate, contributes −0.005.</w:t>
      </w:r>
    </w:p>
    <w:p>
      <w:pPr>
        <w:pStyle w:val="BodyTextIndent"/>
      </w:pPr>
      <w:r>
        <w:t>We report this because the alternative — presenting 0.852 as evidence that gated multi-view fusion is what produced it — would be a specific, checkable, and false causal claim, and because a system whose active ingredient has been misidentified cannot subsequently be improved. The engineering is sound and worth deploying. The explanation for why it performs as it does needs to be the correct one.</w:t>
      </w:r>
    </w:p>
    <w:p>
      <w:pPr>
        <w:pStyle w:val="Heading2"/>
      </w:pPr>
      <w:r>
        <w:t>1.4 Contributions</w:t>
      </w:r>
    </w:p>
    <w:p>
      <w:pPr>
        <w:pStyle w:val="NumberedList"/>
        <w:numPr>
          <w:ilvl w:val="0"/>
          <w:numId w:val="4"/>
        </w:numPr>
      </w:pPr>
      <w:r>
        <w:rPr>
          <w:b/>
        </w:rPr>
        <w:t>CAFE</w:t>
      </w:r>
      <w:r>
        <w:t>, a complete and reproducible pipeline for first-trimester loss prediction: 43 engineered clinical features in five families, two-to-three view-specific experts, and a per-patient softmax gate, reaching AUROC 0.852 at a training cost of seconds rather than minutes.</w:t>
      </w:r>
    </w:p>
    <w:p>
      <w:pPr>
        <w:pStyle w:val="NumberedList"/>
        <w:numPr>
          <w:ilvl w:val="0"/>
          <w:numId w:val="4"/>
        </w:numPr>
      </w:pPr>
      <w:r>
        <w:rPr>
          <w:b/>
        </w:rPr>
        <w:t>A clinically-grounded feature set with its contribution quantified per learner.</w:t>
      </w:r>
      <w:r>
        <w:t xml:space="preserve"> Rather than reporting that engineered features "help", we measure how much they help each of four learners and show the benefit is inversely proportional to the learner's native capacity to represent interactions — evidence that the features re-express existing signal rather than adding new signal.</w:t>
      </w:r>
    </w:p>
    <w:p>
      <w:pPr>
        <w:pStyle w:val="NumberedList"/>
        <w:numPr>
          <w:ilvl w:val="0"/>
          <w:numId w:val="4"/>
        </w:numPr>
      </w:pPr>
      <w:r>
        <w:rPr>
          <w:b/>
        </w:rPr>
        <w:t>An evaluation that goes beyond discrimination</w:t>
      </w:r>
      <w:r>
        <w:t>: Brier score, Cox calibration slope and intercept, expected calibration error, decision-curve analysis against treat-all and treat-none, and a screening operating point whose threshold is selected on one cross-validation repeat and scored on the other.</w:t>
      </w:r>
    </w:p>
    <w:p>
      <w:pPr>
        <w:pStyle w:val="NumberedList"/>
        <w:numPr>
          <w:ilvl w:val="0"/>
          <w:numId w:val="4"/>
        </w:numPr>
      </w:pPr>
      <w:r>
        <w:rPr>
          <w:b/>
        </w:rPr>
        <w:t>A full interpretability stack</w:t>
      </w:r>
      <w:r>
        <w:t>: exact out-of-fold TreeSHAP attributions, so that every patient is explained by a model that never trained on them; the gate's own per-patient trust weights; what those weights respond to; and worked high- and low-risk cases.</w:t>
      </w:r>
    </w:p>
    <w:p>
      <w:pPr>
        <w:pStyle w:val="NumberedList"/>
        <w:numPr>
          <w:ilvl w:val="0"/>
          <w:numId w:val="4"/>
        </w:numPr>
      </w:pPr>
      <w:r>
        <w:rPr>
          <w:b/>
        </w:rPr>
        <w:t>A component-level ablation</w:t>
      </w:r>
      <w:r>
        <w:t xml:space="preserve"> decomposing the final AUROC into the contributions of the features, the boosting component, the gating architecture, and the sequence encoder. This is the central result of the paper.</w:t>
      </w:r>
    </w:p>
    <w:p>
      <w:pPr>
        <w:pStyle w:val="NumberedList"/>
        <w:numPr>
          <w:ilvl w:val="0"/>
          <w:numId w:val="4"/>
        </w:numPr>
      </w:pPr>
      <w:r>
        <w:rPr>
          <w:b/>
        </w:rPr>
        <w:t>A cost analysis</w:t>
      </w:r>
      <w:r>
        <w:t xml:space="preserve"> measured on the same machine and the same folds as the accuracy numbers, so the accuracy-per-second trade-off is stated rather than assumed.</w:t>
      </w:r>
    </w:p>
    <w:p>
      <w:pPr>
        <w:pStyle w:val="Heading2"/>
      </w:pPr>
      <w:r>
        <w:t>1.5 On novelty claims — what we do and do not assert</w:t>
      </w:r>
    </w:p>
    <w:p>
      <w:pPr>
        <w:pStyle w:val="BodyTextIndent"/>
      </w:pPr>
      <w:r>
        <w:t>This work sits downstream of a proposal that framed its contributions as several "first-ever" results for early pregnancy loss. We deliberately make no priority claims, for two reasons, and we state them here rather than burying them in the limitations.</w:t>
      </w:r>
    </w:p>
    <w:p>
      <w:pPr>
        <w:pStyle w:val="BodyTextIndent"/>
      </w:pPr>
      <w:r>
        <w:rPr>
          <w:b/>
        </w:rPr>
        <w:t>First, we cannot verify priority.</w:t>
      </w:r>
      <w:r>
        <w:t xml:space="preserve"> Establishing that no prior work has engineered discordance features or applied a gate to this outcome would require an exhaustive search we have not performed, and a reviewer who knows of a single counterexample is entitled to discard the claim — and to distrust the rest of the paper along with it. The contributions above are stated as things we did and measured, not as things nobody has done before.</w:t>
      </w:r>
    </w:p>
    <w:p>
      <w:pPr>
        <w:pStyle w:val="BodyTextIndent"/>
      </w:pPr>
      <w:r>
        <w:rPr>
          <w:b/>
        </w:rPr>
        <w:t>Second, and more fundamentally, the data are synthetic.</w:t>
      </w:r>
      <w:r>
        <w:t xml:space="preserve"> No claim of the form "the first clinical framework for early pregnancy loss" is available to a study with no patients in it. What we contribute is methodological: a pipeline, an evaluation protocol, and an ablation that identifies which of its parts carry the performance. Whether the engineered features have clinical value is a question this cohort is structurally incapable of answering, and we do not answer it.</w:t>
      </w:r>
    </w:p>
    <w:p>
      <w:pPr>
        <w:pStyle w:val="Heading1"/>
      </w:pPr>
      <w:r>
        <w:t>2. Related Work</w:t>
      </w:r>
    </w:p>
    <w:p>
      <w:pPr>
        <w:pStyle w:val="Heading2"/>
      </w:pPr>
      <w:r>
        <w:t>2.1 Engineered features against learned representations on tabular clinical data</w:t>
      </w:r>
    </w:p>
    <w:p>
      <w:pPr>
        <w:pStyle w:val="BodyTextIndent"/>
      </w:pPr>
      <w:r>
        <w:t>That gradient-boosted trees remain competitive with, and frequently superior to, deep architectures on tabular data is now well established [1, 2]. The mechanisms proposed — rotation invariance, robustness to uninformative features, and an inductive bias toward axis-aligned splits — all apply directly to the setting here, where the patient representation is a few dozen derived scalars.</w:t>
      </w:r>
    </w:p>
    <w:p>
      <w:pPr>
        <w:pStyle w:val="BodyTextIndent"/>
      </w:pPr>
      <w:r>
        <w:t xml:space="preserve">The implication for feature engineering is less often stated. A learner that already discovers multiplicative and threshold interactions natively should benefit </w:t>
      </w:r>
      <w:r>
        <w:rPr>
          <w:i/>
        </w:rPr>
        <w:t>less</w:t>
      </w:r>
      <w:r>
        <w:t xml:space="preserve"> from having those interactions supplied explicitly than a learner that cannot. We test that implication directly in §4.2 and use it as the interpretive key to the entire feature-engineering result.</w:t>
      </w:r>
    </w:p>
    <w:p>
      <w:pPr>
        <w:pStyle w:val="Heading2"/>
      </w:pPr>
      <w:r>
        <w:t>2.2 Gated fusion and mixtures of experts</w:t>
      </w:r>
    </w:p>
    <w:p>
      <w:pPr>
        <w:pStyle w:val="BodyTextIndent"/>
      </w:pPr>
      <w:r>
        <w:t xml:space="preserve">Per-patient gating descends from the mixture-of-experts formulation [3], in which a gating network learns an input-dependent distribution over specialist predictors, and from its modern sparse variants [4]. In clinical multimodal work the gate is usually motivated by </w:t>
      </w:r>
      <w:r>
        <w:rPr>
          <w:i/>
        </w:rPr>
        <w:t>heterogeneity</w:t>
      </w:r>
      <w:r>
        <w:t>: different patients have different data quality, or their risk is driven by different mechanisms, and a fixed combination rule cannot adapt to that.</w:t>
      </w:r>
    </w:p>
    <w:p>
      <w:pPr>
        <w:pStyle w:val="BodyTextIndent"/>
      </w:pPr>
      <w:r>
        <w:t xml:space="preserve">The motivation is sound and the mechanism is real. What is rarely reported is the counterfactual — the same experts combined by a fixed rule, or dispensed with entirely in favour of a single joint model — which is precisely what determines whether the adaptivity was worth its cost. We therefore report the gate's </w:t>
      </w:r>
      <w:r>
        <w:rPr>
          <w:i/>
        </w:rPr>
        <w:t>behaviour</w:t>
      </w:r>
      <w:r>
        <w:t xml:space="preserve"> and its </w:t>
      </w:r>
      <w:r>
        <w:rPr>
          <w:i/>
        </w:rPr>
        <w:t>benefit</w:t>
      </w:r>
      <w:r>
        <w:t xml:space="preserve"> as two separate measurements (§4.8), because they turn out to have different answers.</w:t>
      </w:r>
    </w:p>
    <w:p>
      <w:pPr>
        <w:pStyle w:val="Heading2"/>
      </w:pPr>
      <w:r>
        <w:t>2.3 Evaluation beyond discrimination</w:t>
      </w:r>
    </w:p>
    <w:p>
      <w:pPr>
        <w:pStyle w:val="BodyTextIndent"/>
      </w:pPr>
      <w:r>
        <w:t>A model's AUROC describes only its ranking of patients. Two models with identical AUROC can differ substantially in whether their stated probabilities are trustworthy, and a well-ranking, badly-calibrated model is actively unsafe when its output is used as a risk figure in a consultation [5]. Decision-curve analysis [6] adds the further question of whether acting on the model beats the default strategies of treating everyone or no one, across the range of risk thresholds a clinician might plausibly adopt. Frameworks for assessing prediction models have long recommended reporting discrimination, calibration and clinical usefulness together rather than singly [12].</w:t>
      </w:r>
    </w:p>
    <w:p>
      <w:pPr>
        <w:pStyle w:val="BodyTextIndent"/>
      </w:pPr>
      <w:r>
        <w:t>Because these are distinct properties, a tie in discrimination does not imply a tie in clinical utility. That is why we measured them here rather than assuming the AUROC result had settled the matter — and, as §4.4 shows, it is the reason this study reached a conclusion its discrimination results alone could not have supported.</w:t>
      </w:r>
    </w:p>
    <w:p>
      <w:pPr>
        <w:pStyle w:val="Heading2"/>
      </w:pPr>
      <w:r>
        <w:t>2.4 Early pregnancy-loss prediction</w:t>
      </w:r>
    </w:p>
    <w:p>
      <w:pPr>
        <w:pStyle w:val="BodyTextIndent"/>
      </w:pPr>
      <w:r>
        <w:t>Prediction of first-trimester loss from early sonographic biometry and maternal history has been approached both with classical risk scoring and, more recently, with deep models operating on ultrasound recordings [7].</w:t>
      </w:r>
    </w:p>
    <w:p>
      <w:pPr>
        <w:pStyle w:val="BodyTextIndent"/>
      </w:pPr>
      <w:r>
        <w:t xml:space="preserve">We do not compare our AUROC against figures reported on other cohorts. Prevalence, case mix and measurement protocol differ, and a numerical comparison across cohorts would be uninterpretable regardless of which direction it happened to favour. Published work enters this paper as a source of </w:t>
      </w:r>
      <w:r>
        <w:rPr>
          <w:i/>
        </w:rPr>
        <w:t>designs</w:t>
      </w:r>
      <w:r>
        <w:t xml:space="preserve">, not of </w:t>
      </w:r>
      <w:r>
        <w:rPr>
          <w:i/>
        </w:rPr>
        <w:t>results</w:t>
      </w:r>
      <w:r>
        <w:t>.</w:t>
      </w:r>
    </w:p>
    <w:p>
      <w:pPr>
        <w:pStyle w:val="Heading1"/>
      </w:pPr>
      <w:r>
        <w:t>3. Methods</w:t>
      </w:r>
    </w:p>
    <w:p>
      <w:pPr>
        <w:pStyle w:val="Heading2"/>
      </w:pPr>
      <w:r>
        <w:t>3.1 Study design</w:t>
      </w:r>
    </w:p>
    <w:p>
      <w:pPr>
        <w:pStyle w:val="BodyTextIndent"/>
      </w:pPr>
      <w:r>
        <w:t>The study proceeded in four pre-planned phases, each answering one question and each reported separately below:</w:t>
      </w:r>
    </w:p>
    <w:p>
      <w:pPr>
        <w:pStyle w:val="NumberedList"/>
        <w:numPr>
          <w:ilvl w:val="0"/>
          <w:numId w:val="5"/>
        </w:numPr>
      </w:pPr>
      <w:r>
        <w:rPr>
          <w:b/>
        </w:rPr>
        <w:t>Phase 1 — Features.</w:t>
      </w:r>
      <w:r>
        <w:t xml:space="preserve"> Do clinically-aligned engineered features improve prediction, and for which learners? (§3.3, §4.2)</w:t>
      </w:r>
    </w:p>
    <w:p>
      <w:pPr>
        <w:pStyle w:val="NumberedList"/>
        <w:numPr>
          <w:ilvl w:val="0"/>
          <w:numId w:val="5"/>
        </w:numPr>
      </w:pPr>
      <w:r>
        <w:rPr>
          <w:b/>
        </w:rPr>
        <w:t>Phase 2 — Architecture.</w:t>
      </w:r>
      <w:r>
        <w:t xml:space="preserve"> Do view-specific experts combined by a per-patient gate improve on a single joint model given the same features? (§3.4, §4.1, §4.3)</w:t>
      </w:r>
    </w:p>
    <w:p>
      <w:pPr>
        <w:pStyle w:val="NumberedList"/>
        <w:numPr>
          <w:ilvl w:val="0"/>
          <w:numId w:val="5"/>
        </w:numPr>
      </w:pPr>
      <w:r>
        <w:rPr>
          <w:b/>
        </w:rPr>
        <w:t>Phase 3 — Clinical evaluation.</w:t>
      </w:r>
      <w:r>
        <w:t xml:space="preserve"> Beyond discrimination, do the arms differ in calibration, net benefit, or behaviour at a screening operating point? (§3.6, §4.4–§4.6)</w:t>
      </w:r>
    </w:p>
    <w:p>
      <w:pPr>
        <w:pStyle w:val="NumberedList"/>
        <w:numPr>
          <w:ilvl w:val="0"/>
          <w:numId w:val="5"/>
        </w:numPr>
      </w:pPr>
      <w:r>
        <w:rPr>
          <w:b/>
        </w:rPr>
        <w:t>Phase 4 — Interpretability.</w:t>
      </w:r>
      <w:r>
        <w:t xml:space="preserve"> What does the model rely on, what does the gate do, and does either correspond to what the components contributed? (§3.8, §4.7–§4.8)</w:t>
      </w:r>
    </w:p>
    <w:p>
      <w:pPr>
        <w:pStyle w:val="BodyTextIndent"/>
      </w:pPr>
      <w:r>
        <w:t>Phases 1 and 2 are ablations under a fixed evaluation protocol; Phases 3 and 4 characterise the resulting system. The decomposition in §4.10 assembles Phases 1 and 2 into a single attribution of the final score.</w:t>
      </w:r>
    </w:p>
    <w:p>
      <w:pPr>
        <w:pStyle w:val="Heading2"/>
      </w:pPr>
      <w:r>
        <w:t>3.2 Cohort</w:t>
      </w:r>
    </w:p>
    <w:p>
      <w:pPr>
        <w:pStyle w:val="BodyTextIndent"/>
        <w:keepNext/>
        <w:spacing w:before="120"/>
        <w:ind w:firstLine="0"/>
        <w:jc w:val="left"/>
      </w:pPr>
      <w:r>
        <w:rPr>
          <w:b/>
        </w:rPr>
        <w:t>3.2.1 Provenance and difficulty calibration</w:t>
      </w:r>
    </w:p>
    <w:p>
      <w:pPr>
        <w:pStyle w:val="BodyTextIndent"/>
      </w:pPr>
      <w:r>
        <w:t xml:space="preserve">All data are synthetic, generated on the authors' machine. </w:t>
      </w:r>
      <w:r>
        <w:rPr>
          <w:b/>
        </w:rPr>
        <w:t>No real patient data were used at any stage.</w:t>
      </w:r>
      <w:r>
        <w:t xml:space="preserve"> The evaluation cohort (n = 3000, prevalence 20.3 %) is the same cohort used throughout our fusion-architecture benchmark, generated from a single seeded command with frozen parameters and reproducible bit-for-bit.</w:t>
      </w:r>
    </w:p>
    <w:p>
      <w:pPr>
        <w:pStyle w:val="BodyTextIndent"/>
      </w:pPr>
      <w:r>
        <w:t xml:space="preserve">Its difficulty was calibrated </w:t>
      </w:r>
      <w:r>
        <w:rPr>
          <w:i/>
        </w:rPr>
        <w:t>before</w:t>
      </w:r>
      <w:r>
        <w:t xml:space="preserve"> any of the models in this paper existed, and calibrated against a baseline that is </w:t>
      </w:r>
      <w:r>
        <w:rPr>
          <w:b/>
        </w:rPr>
        <w:t>not</w:t>
      </w:r>
      <w:r>
        <w:t xml:space="preserve"> one of the models under test (HistGradientBoosting), to a band fixed in advance ([0.83, 0.87]; achieved 0.836 ± 0.013). This ordering matters: calibrating difficulty against a proposed model allows the task to be steered toward it, whereas using an external baseline prevents that.</w:t>
      </w:r>
    </w:p>
    <w:p>
      <w:pPr>
        <w:pStyle w:val="BodyTextIndent"/>
        <w:keepNext/>
        <w:spacing w:before="120"/>
        <w:ind w:firstLine="0"/>
        <w:jc w:val="left"/>
      </w:pPr>
      <w:r>
        <w:rPr>
          <w:b/>
        </w:rPr>
        <w:t>3.2.2 Modalities and measurement model</w:t>
      </w:r>
    </w:p>
    <w:p>
      <w:pPr>
        <w:pStyle w:val="BodyTextIndent"/>
      </w:pPr>
      <w:r>
        <w:t>The scan modality comprises two to five visits per patient (mean 3.05), irregularly spaced at 1–4 gestational-week intervals, with four measurements per visit: crown–rump length (CRL), mean gestational-sac diameter (GS), yolk-sac diameter (YSD), and fetal heart rate (FHR). The maternal modality comprises static clinical covariates: age, BMI, gravidity, parity, previous loss, conception route, and plurality.</w:t>
      </w:r>
    </w:p>
    <w:p>
      <w:pPr>
        <w:pStyle w:val="BodyTextIndent"/>
      </w:pPr>
      <w:r>
        <w:t>Marker trajectories are anchored to published first-trimester reference values across gestational weeks 5–10, with marker-specific measurement error mimicking real ultrasound precision (CRL ± 1.6 mm, GS ± 3.2 mm, FHR ± 6.5 bpm, YSD ± 0.55 mm) and a label-independent constitutional-size factor correlating the size markers within a patient. Losses are expressed as clinically recognised abnormality patterns — small CRL and sac, bradycardia, and an enlarged yolk sac — each at 0.90–0.94 probability, so that no single marker is deterministic.</w:t>
      </w:r>
    </w:p>
    <w:p>
      <w:pPr>
        <w:pStyle w:val="BodyTextIndent"/>
        <w:keepNext/>
        <w:spacing w:before="120"/>
        <w:ind w:firstLine="0"/>
        <w:jc w:val="left"/>
      </w:pPr>
      <w:r>
        <w:rPr>
          <w:b/>
        </w:rPr>
        <w:t>3.2.3 Outcome structure</w:t>
      </w:r>
    </w:p>
    <w:p>
      <w:pPr>
        <w:pStyle w:val="BodyTextIndent"/>
      </w:pPr>
      <w:r>
        <w:t xml:space="preserve">The outcome has explicit causal structure: </w:t>
      </w:r>
      <w:r>
        <w:rPr>
          <w:rFonts w:ascii="Consolas" w:hAnsi="Consolas"/>
          <w:sz w:val="18"/>
        </w:rPr>
        <w:t>label = label_sono OR label_mat</w:t>
      </w:r>
      <w:r>
        <w:t>, verified at 1.0000 across all 3000 patients, with two independent channels — a sonographic channel expressed in the scan trajectory and a maternal channel expressed in the static covariates. Measured oracle ceilings are 0.820 for the sonographic channel alone, 0.756 for the maternal channel alone, and 1.000 for both.</w:t>
      </w:r>
    </w:p>
    <w:p>
      <w:pPr>
        <w:pStyle w:val="BodyTextIndent"/>
      </w:pPr>
      <w:r>
        <w:t xml:space="preserve">The channel labels are retained for diagnostics only. They are </w:t>
      </w:r>
      <w:r>
        <w:rPr>
          <w:b/>
        </w:rPr>
        <w:t>never model inputs and never evaluation targets</w:t>
      </w:r>
      <w:r>
        <w:t>: because the observed label is their exact OR, supplying them as features would leak the outcome outright.</w:t>
      </w:r>
    </w:p>
    <w:p>
      <w:pPr>
        <w:pStyle w:val="BodyTextIndent"/>
        <w:keepNext/>
        <w:spacing w:before="120"/>
        <w:ind w:firstLine="0"/>
        <w:jc w:val="left"/>
      </w:pPr>
      <w:r>
        <w:rPr>
          <w:b/>
        </w:rPr>
        <w:t>3.2.4 What is specified rather than estimated</w:t>
      </w:r>
    </w:p>
    <w:p>
      <w:pPr>
        <w:pStyle w:val="BodyTextIndent"/>
      </w:pPr>
      <w:r>
        <w:t xml:space="preserve">The </w:t>
      </w:r>
      <w:r>
        <w:rPr>
          <w:i/>
        </w:rPr>
        <w:t>strengths</w:t>
      </w:r>
      <w:r>
        <w:t xml:space="preserve"> of the two causal channels are specified parameters, not measured effect sizes, and the maternal channel is near-deterministic by construction. The reference curves make the </w:t>
      </w:r>
      <w:r>
        <w:rPr>
          <w:i/>
        </w:rPr>
        <w:t>measurements</w:t>
      </w:r>
      <w:r>
        <w:t xml:space="preserve"> realistic; they do not make the </w:t>
      </w:r>
      <w:r>
        <w:rPr>
          <w:i/>
        </w:rPr>
        <w:t>etiologic structure</w:t>
      </w:r>
      <w:r>
        <w:t xml:space="preserve"> an empirical finding. No parameter of this cohort should be cited as a clinical quantity.</w:t>
      </w:r>
    </w:p>
    <w:p>
      <w:pPr>
        <w:pStyle w:val="BodyTextIndent"/>
      </w:pPr>
      <w:r>
        <w:t xml:space="preserve">The cohort is nevertheless dual-etiology </w:t>
      </w:r>
      <w:r>
        <w:rPr>
          <w:b/>
        </w:rPr>
        <w:t>by design</w:t>
      </w:r>
      <w:r>
        <w:t>, built so that complementary signal genuinely exists for fusion to exploit. A null result here is informative precisely because the data were constructed to favour fusion.</w:t>
      </w:r>
    </w:p>
    <w:p>
      <w:pPr>
        <w:pStyle w:val="Heading2"/>
      </w:pPr>
      <w:r>
        <w:t>3.3 Phase 1 — five families of clinically-aligned features</w:t>
      </w:r>
    </w:p>
    <w:p>
      <w:pPr>
        <w:pStyle w:val="BodyTextIndent"/>
      </w:pPr>
      <w:r>
        <w:t xml:space="preserve">The engineered block adds 43 features to the 23-feature base table, giving a union view of 66 features. It is </w:t>
      </w:r>
      <w:r>
        <w:rPr>
          <w:b/>
        </w:rPr>
        <w:t>label-free by construction</w:t>
      </w:r>
      <w:r>
        <w:t>: the outcome column is never read during feature construction, so no leakage pathway exists.</w:t>
      </w:r>
    </w:p>
    <w:p>
      <w:pPr>
        <w:pStyle w:val="BodyTextIndent"/>
      </w:pPr>
      <w:r>
        <w:t xml:space="preserve">The organising idea is gestational normalisation. A raw crown–rump length of 20 mm is meaningless without knowing the gestational age at which it was measured; the clinically meaningful quantity is whether the measurement is normal </w:t>
      </w:r>
      <w:r>
        <w:rPr>
          <w:i/>
        </w:rPr>
        <w:t>for that week</w:t>
      </w:r>
      <w:r>
        <w:t>. Every measurement is therefore converted to a z-score within its rounded gestational-age bin before any further feature is derived from it, and all five families are built on those z-scores.</w:t>
      </w:r>
    </w:p>
    <w:p>
      <w:pPr>
        <w:pStyle w:val="Caption"/>
        <w:spacing w:before="160" w:after="160"/>
      </w:pPr>
      <w:r>
        <w:rPr>
          <w:b/>
          <w:sz w:val="18"/>
        </w:rPr>
        <w:t>[TABLE 1 HERE] — Table 1.</w:t>
      </w:r>
      <w:r>
        <w:rPr>
          <w:sz w:val="18"/>
        </w:rPr>
        <w:t xml:space="preserve"> The five feature families: the clinical question each encodes, its construction, and the number of features contributed.</w:t>
      </w:r>
    </w:p>
    <w:p>
      <w:pPr>
        <w:pStyle w:val="BodyTextIndent"/>
      </w:pPr>
      <w:r>
        <w:t>Discordance is the family with the clearest clinical motivation and the least precedent. A fetus whose heart rate is falling while its crown–rump length is still tracking normally is in a different state from one where both are falling together, and neither raw marker captures that. The divergence between them does.</w:t>
      </w:r>
    </w:p>
    <w:p>
      <w:pPr>
        <w:pStyle w:val="Heading2"/>
      </w:pPr>
      <w:r>
        <w:t>3.4 Phase 2 — three encoders over three views</w:t>
      </w:r>
    </w:p>
    <w:p>
      <w:pPr>
        <w:pStyle w:val="BodyTextIndent"/>
        <w:keepNext/>
        <w:spacing w:before="120"/>
        <w:ind w:firstLine="0"/>
        <w:jc w:val="left"/>
      </w:pPr>
      <w:r>
        <w:rPr>
          <w:b/>
        </w:rPr>
        <w:t>3.4.1 Views and experts</w:t>
      </w:r>
    </w:p>
    <w:p>
      <w:pPr>
        <w:pStyle w:val="BodyTextIndent"/>
      </w:pPr>
      <w:r>
        <w:t xml:space="preserve">CAFE partitions the available information into views and assigns an expert to each. All experts see data derived from </w:t>
      </w:r>
      <w:r>
        <w:rPr>
          <w:b/>
        </w:rPr>
        <w:t>both</w:t>
      </w:r>
      <w:r>
        <w:t xml:space="preserve"> modalities; the partition is by </w:t>
      </w:r>
      <w:r>
        <w:rPr>
          <w:i/>
        </w:rPr>
        <w:t>representation</w:t>
      </w:r>
      <w:r>
        <w:t>, not by modality, so no expert is starved of a data source.</w:t>
      </w:r>
    </w:p>
    <w:p>
      <w:pPr>
        <w:pStyle w:val="Caption"/>
        <w:spacing w:before="160" w:after="160"/>
      </w:pPr>
      <w:r>
        <w:rPr>
          <w:b/>
          <w:sz w:val="18"/>
        </w:rPr>
        <w:t>[TABLE 2 HERE] — Table 2.</w:t>
      </w:r>
      <w:r>
        <w:rPr>
          <w:sz w:val="18"/>
        </w:rPr>
        <w:t xml:space="preserve"> Encoder specifications: the view each encoder consumes, its model class, and its parameter count.</w:t>
      </w:r>
    </w:p>
    <w:p>
      <w:pPr>
        <w:pStyle w:val="BodyTextIndent"/>
      </w:pPr>
      <w:r>
        <w:t>Encoder B is not a new architecture. It is the same temporal-attention model used as a full-size specialist elsewhere in this programme, scaled down from 88,193 parameters to 12,585 — matching the ~10,000-parameter budget proposed for a "light" sequence encoder. Reporting it as a distinct design would overstate the novelty; it is a width-and-depth ablation of a model we had already built.</w:t>
      </w:r>
    </w:p>
    <w:p>
      <w:pPr>
        <w:pStyle w:val="BodyTextIndent"/>
        <w:keepNext/>
        <w:spacing w:before="120"/>
        <w:ind w:firstLine="0"/>
        <w:jc w:val="left"/>
      </w:pPr>
      <w:r>
        <w:rPr>
          <w:b/>
        </w:rPr>
        <w:t>3.4.2 The gate</w:t>
      </w:r>
    </w:p>
    <w:p>
      <w:pPr>
        <w:pStyle w:val="BodyTextIndent"/>
      </w:pPr>
      <w:r>
        <w:t xml:space="preserve">The gate is a two-layer MLP over the patient's own base features, emitting a softmax distribution over the experts. The fused prediction is the gate-weighted sum of the experts' </w:t>
      </w:r>
      <w:r>
        <w:rPr>
          <w:b/>
        </w:rPr>
        <w:t>logits</w:t>
      </w:r>
      <w:r>
        <w:t>, so the output remains on the log-odds scale and its sigmoid is a genuine pooled probability rather than an arbitrary score. That property is what makes the calibration analysis of §4.4 meaningful.</w:t>
      </w:r>
    </w:p>
    <w:p>
      <w:pPr>
        <w:pStyle w:val="BodyTextIndent"/>
        <w:keepNext/>
        <w:spacing w:before="120"/>
        <w:ind w:firstLine="0"/>
        <w:jc w:val="left"/>
      </w:pPr>
      <w:r>
        <w:rPr>
          <w:b/>
        </w:rPr>
        <w:t>3.4.3 Two implementation safeguards</w:t>
      </w:r>
    </w:p>
    <w:p>
      <w:pPr>
        <w:pStyle w:val="BodyTextIndent"/>
      </w:pPr>
      <w:r>
        <w:t>Two details materially affect the result. Both are stated because both are easy to get wrong, and getting either wrong inflates the architecture's apparent value.</w:t>
      </w:r>
    </w:p>
    <w:p>
      <w:pPr>
        <w:pStyle w:val="BodyTextIndent"/>
      </w:pPr>
      <w:r>
        <w:rPr>
          <w:b/>
        </w:rPr>
        <w:t>The gate trains on inner out-of-fold expert logits.</w:t>
      </w:r>
      <w:r>
        <w:t xml:space="preserve"> Within each training fold, expert logits are produced by an inner 3-fold cross-validation; the experts are then refitted on the full training fold for test-time prediction. Training the gate on in-fold logits would teach it to trust whichever expert overfits hardest.</w:t>
      </w:r>
    </w:p>
    <w:p>
      <w:pPr>
        <w:pStyle w:val="BodyTextIndent"/>
      </w:pPr>
      <w:r>
        <w:rPr>
          <w:b/>
        </w:rPr>
        <w:t>Expert logits are placed on a common scale before gating.</w:t>
      </w:r>
      <w:r>
        <w:t xml:space="preserve"> In the three-expert configuration we found that an unstandardised gate placed 0.697 of its mass on the </w:t>
      </w:r>
      <w:r>
        <w:rPr>
          <w:i/>
        </w:rPr>
        <w:t>weakest</w:t>
      </w:r>
      <w:r>
        <w:t xml:space="preserve"> expert — not because that expert was informative, but because its logits had the widest spread, so it dominated the weighted sum at any weight. We therefore standardise each expert's logits on training-fold statistics before gating. This is a genuine confound rather than a tuning detail: on the diagnostic fold where we found it, correcting it moved the sequence encoder's gate weight from 0.697 to 0.257 and the three-expert arm from 0.810 to 0.834. Left uncorrected, it would have been reported as an architectural finding about sequence encoders when it was an artefact of unnormalised logit scale.</w:t>
      </w:r>
    </w:p>
    <w:p>
      <w:pPr>
        <w:pStyle w:val="Heading2"/>
      </w:pPr>
      <w:r>
        <w:t>3.5 Baselines and input parity</w:t>
      </w:r>
    </w:p>
    <w:p>
      <w:pPr>
        <w:pStyle w:val="BodyTextIndent"/>
      </w:pPr>
      <w:r>
        <w:t xml:space="preserve">Every baseline receives the </w:t>
      </w:r>
      <w:r>
        <w:rPr>
          <w:b/>
        </w:rPr>
        <w:t>union view</w:t>
      </w:r>
      <w:r>
        <w:t xml:space="preserve"> — the base table plus all 43 engineered features — so the hybrid's experts and the single-model baselines see exactly the same information. The hybrid splits that union and gates it; the baselines get it whole. Nothing is withheld from a baseline to flatter the hybrid, and no hybrid result can be attributed to an information advantage.</w:t>
      </w:r>
    </w:p>
    <w:p>
      <w:pPr>
        <w:pStyle w:val="BodyTextIndent"/>
      </w:pPr>
      <w:r>
        <w:t>Baselines are logistic regression (standardised), XGBoost [10], and CatBoost [11], all at library defaults with a fixed seed. The base feature table is constructed through the project's sanctioned feature-table function rather than rebuilt ad hoc; ad-hoc reconstruction understates the tree baseline by approximately 0.019 AUROC and has twice produced a spurious apparent win in this research programme.</w:t>
      </w:r>
    </w:p>
    <w:p>
      <w:pPr>
        <w:pStyle w:val="BodyTextIndent"/>
      </w:pPr>
      <w:r>
        <w:t xml:space="preserve">Input parity is additionally verified by gradient and perturbation checks asserting that each model's output actually depends on every modality it is credited with. That check was introduced after a cross-attention wiring fault was found in which a softmax over a single key produced identically zero gradient to the maternal pathway, silently making one tower single-modality while results tables described it otherwise. </w:t>
      </w:r>
      <w:r>
        <w:rPr>
          <w:b/>
        </w:rPr>
        <w:t>Parity is a property of the wiring, not of the command-line flags.</w:t>
      </w:r>
    </w:p>
    <w:p>
      <w:pPr>
        <w:pStyle w:val="Heading2"/>
      </w:pPr>
      <w:r>
        <w:t>3.6 Evaluation protocol</w:t>
      </w:r>
    </w:p>
    <w:p>
      <w:pPr>
        <w:pStyle w:val="BodyTextIndent"/>
      </w:pPr>
      <w:r>
        <w:t xml:space="preserve">All arms are evaluated with </w:t>
      </w:r>
      <w:r>
        <w:rPr>
          <w:b/>
        </w:rPr>
        <w:t>5×2 repeated stratified cross-validation</w:t>
      </w:r>
      <w:r>
        <w:t xml:space="preserve"> (</w:t>
      </w:r>
      <w:r>
        <w:rPr>
          <w:rFonts w:ascii="Consolas" w:hAnsi="Consolas"/>
          <w:sz w:val="18"/>
        </w:rPr>
        <w:t>RepeatedStratifiedKFold(n_splits=5, n_repeats=2, random_state=0)</w:t>
      </w:r>
      <w:r>
        <w:t>), on folds identical to those used by every other study in this programme, so numbers here are directly comparable to numbers published elsewhere from this cohort. Plain 5-fold cross-validation is unstable at these effect sizes — one effect in this project halved from +0.012 to +0.003 when moved from 5-fold to 5×2 — and single-split estimates are used nowhere in this paper.</w:t>
      </w:r>
    </w:p>
    <w:p>
      <w:pPr>
        <w:pStyle w:val="BodyTextIndent"/>
      </w:pPr>
      <w:r>
        <w:t xml:space="preserve">Reported metrics are AUROC, AUPRC, Brier score, Cox calibration slope and intercept, expected calibration error over ten equal-width bins, net benefit across risk thresholds 0.05–0.50, and sensitivity, specificity, PPV and NPV at a screening operating point [12]. </w:t>
      </w:r>
      <w:r>
        <w:rPr>
          <w:b/>
        </w:rPr>
        <w:t>Bare accuracy is never reported</w:t>
      </w:r>
      <w:r>
        <w:t>: at 20.3 % prevalence, predicting "no loss" for every patient scores 79.7 %.</w:t>
      </w:r>
    </w:p>
    <w:p>
      <w:pPr>
        <w:pStyle w:val="BodyTextIndent"/>
      </w:pPr>
      <w:r>
        <w:t xml:space="preserve">Repeated cross-validation yields two complete out-of-fold prediction vectors, one per repeat. The screening threshold is selected on repeat 1, at the lowest value achieving 90 % sensitivity, and then </w:t>
      </w:r>
      <w:r>
        <w:rPr>
          <w:b/>
        </w:rPr>
        <w:t>scored on repeat 2</w:t>
      </w:r>
      <w:r>
        <w:t>, so the operating point is never chosen and reported on the same predictions.</w:t>
      </w:r>
    </w:p>
    <w:p>
      <w:pPr>
        <w:pStyle w:val="Heading2"/>
      </w:pPr>
      <w:r>
        <w:t>3.7 The decision rule</w:t>
      </w:r>
    </w:p>
    <w:p>
      <w:pPr>
        <w:pStyle w:val="BodyTextIndent"/>
      </w:pPr>
      <w:r>
        <w:t xml:space="preserve">Fixed in advance and applied verbatim to every comparison in this paper, including those where its verdict is inconvenient. A difference between two arms is </w:t>
      </w:r>
      <w:r>
        <w:rPr>
          <w:b/>
        </w:rPr>
        <w:t>REAL</w:t>
      </w:r>
      <w:r>
        <w:t xml:space="preserve"> only if:</w:t>
      </w:r>
    </w:p>
    <w:p>
      <w:pPr>
        <w:pStyle w:val="BlockQuote"/>
      </w:pPr>
      <w:r>
        <w:t xml:space="preserve">|mean fold-wise difference| </w:t>
      </w:r>
      <w:r>
        <w:rPr>
          <w:b/>
        </w:rPr>
        <w:t>&gt; 2 × pooled fold standard deviation</w:t>
      </w:r>
      <w:r>
        <w:t xml:space="preserve">, </w:t>
      </w:r>
      <w:r>
        <w:rPr>
          <w:b/>
        </w:rPr>
        <w:t>and</w:t>
      </w:r>
      <w:r>
        <w:t xml:space="preserve"> the sign of the difference agrees on </w:t>
      </w:r>
      <w:r>
        <w:rPr>
          <w:b/>
        </w:rPr>
        <w:t>≥ 8 of 10 folds</w:t>
      </w:r>
      <w:r>
        <w:t>.</w:t>
      </w:r>
    </w:p>
    <w:p>
      <w:pPr>
        <w:pStyle w:val="BodyTextIndent"/>
      </w:pPr>
      <w:r>
        <w:t xml:space="preserve">Otherwise the result is reported as a </w:t>
      </w:r>
      <w:r>
        <w:rPr>
          <w:b/>
        </w:rPr>
        <w:t>TIE</w:t>
      </w:r>
      <w:r>
        <w:t>, regardless of the sign or size of the point estimate. Reporting a favourable point estimate as a win when it fails this rule is the specific failure mode the rule exists to prevent. The rule is applied symmetrically: several of the ties below have point estimates that would be attractive to report as wins.</w:t>
      </w:r>
    </w:p>
    <w:p>
      <w:pPr>
        <w:pStyle w:val="Heading2"/>
      </w:pPr>
      <w:r>
        <w:t>3.8 Phase 4 — interpretability protocol</w:t>
      </w:r>
    </w:p>
    <w:p>
      <w:pPr>
        <w:pStyle w:val="BodyTextIndent"/>
      </w:pPr>
      <w:r>
        <w:t xml:space="preserve">Attributions are </w:t>
      </w:r>
      <w:r>
        <w:rPr>
          <w:b/>
        </w:rPr>
        <w:t>exact TreeSHAP</w:t>
      </w:r>
      <w:r>
        <w:t xml:space="preserve"> [8, 9], computed by the boosting libraries themselves rather than by approximation, and computed </w:t>
      </w:r>
      <w:r>
        <w:rPr>
          <w:b/>
        </w:rPr>
        <w:t>out of fold</w:t>
      </w:r>
      <w:r>
        <w:t>: the five folds of repeat 1 form one complete partition, so every patient's attribution comes from a model that never saw that patient in training. In-fold attributions describe a model's memorisation as readily as its reasoning.</w:t>
      </w:r>
    </w:p>
    <w:p>
      <w:pPr>
        <w:pStyle w:val="BodyTextIndent"/>
      </w:pPr>
      <w:r>
        <w:t>Gate behaviour is characterised by the distribution of its per-patient weights across the out-of-fold cohort, by the correlation of those weights with patient features, and by worked examples at the extremes of predicted risk.</w:t>
      </w:r>
    </w:p>
    <w:p>
      <w:pPr>
        <w:pStyle w:val="Heading2"/>
      </w:pPr>
      <w:r>
        <w:t>3.9 Reproducibility</w:t>
      </w:r>
    </w:p>
    <w:p>
      <w:pPr>
        <w:pStyle w:val="BodyTextIndent"/>
      </w:pPr>
      <w:r>
        <w:t xml:space="preserve">The cohort is regenerable bit-for-bit from one seeded command with frozen generator parameters. Every table in this paper is produced by a named script from per-fold prediction files that are retained, and every number in the manuscript is checked against those files by an automated verifier that fails on any drift. Paths are listed under </w:t>
      </w:r>
      <w:r>
        <w:rPr>
          <w:i/>
        </w:rPr>
        <w:t>Data and Code Availability</w:t>
      </w:r>
      <w:r>
        <w:t>.</w:t>
      </w:r>
    </w:p>
    <w:p>
      <w:pPr>
        <w:pStyle w:val="Heading1"/>
      </w:pPr>
      <w:r>
        <w:t>4. Results</w:t>
      </w:r>
    </w:p>
    <w:p>
      <w:pPr>
        <w:pStyle w:val="Heading2"/>
      </w:pPr>
      <w:r>
        <w:t>4.1 Discrimination and overall error</w:t>
      </w:r>
    </w:p>
    <w:p>
      <w:pPr>
        <w:pStyle w:val="Caption"/>
        <w:spacing w:before="160" w:after="160"/>
      </w:pPr>
      <w:r>
        <w:rPr>
          <w:b/>
          <w:sz w:val="18"/>
        </w:rPr>
        <w:t>[TABLE 3 HERE] — Table 3.</w:t>
      </w:r>
      <w:r>
        <w:rPr>
          <w:sz w:val="18"/>
        </w:rPr>
        <w:t xml:space="preserve"> Discrimination, overall error and calibration, 5×2 repeated CV, mean over 10 folds. All arms receive the identical 66-feature union view. CAFE denotes the gated two-expert configuration (Encoders A and C); the suffix indicates the boosting component from which both experts are built.</w:t>
      </w:r>
    </w:p>
    <w:p>
      <w:pPr>
        <w:pStyle w:val="BodyTextIndent"/>
      </w:pPr>
      <w:r>
        <w:t xml:space="preserve">CAFE records the highest AUROC point estimate in the study. Against its matched single-model comparator — CatBoost on the union of the same features — the difference is </w:t>
      </w:r>
      <w:r>
        <w:rPr>
          <w:b/>
        </w:rPr>
        <w:t>+0.0008 AUROC, with sign agreement 6/10</w:t>
      </w:r>
      <w:r>
        <w:t xml:space="preserve">, which the decision rule returns as a </w:t>
      </w:r>
      <w:r>
        <w:rPr>
          <w:b/>
        </w:rPr>
        <w:t>TIE</w:t>
      </w:r>
      <w:r>
        <w:t>. On AUPRC the ordering reverses (0.686 against 0.692) and on Brier score it reverses again (0.1048 against 0.1042), both also ties. On every discrimination and overall-error measure we computed, the two models are the same model.</w:t>
      </w:r>
    </w:p>
    <w:p>
      <w:pPr>
        <w:pStyle w:val="BodyTextIndent"/>
      </w:pPr>
      <w:r>
        <w:t>That statement should be read precisely. It does not say CAFE is worse. It says the architecture that splits the feature space into views and gates them recovers exactly what a single tree recovers from the same features, and that we have no evidence, at this sample size, of a difference in either direction.</w:t>
      </w:r>
    </w:p>
    <w:p>
      <w:pPr>
        <w:pStyle w:val="Heading2"/>
      </w:pPr>
      <w:r>
        <w:t>4.2 Phase 1 — who actually benefits from engineered clinical features?</w:t>
      </w:r>
    </w:p>
    <w:p>
      <w:pPr>
        <w:pStyle w:val="BodyTextIndent"/>
      </w:pPr>
      <w:r>
        <w:t>The 43 engineered features were evaluated by adding them to the base table for four learners independently, holding folds, seeds and everything else fixed.</w:t>
      </w:r>
    </w:p>
    <w:p>
      <w:pPr>
        <w:pStyle w:val="Caption"/>
        <w:spacing w:before="160" w:after="160"/>
      </w:pPr>
      <w:r>
        <w:rPr>
          <w:b/>
          <w:sz w:val="18"/>
        </w:rPr>
        <w:t>[TABLE 4 HERE] — Table 4.</w:t>
      </w:r>
      <w:r>
        <w:rPr>
          <w:sz w:val="18"/>
        </w:rPr>
        <w:t xml:space="preserve"> Contribution of the engineered feature block, by learner: base table versus union view, with the fold-wise sign agreement and decision-rule verdict.</w:t>
      </w:r>
    </w:p>
    <w:p>
      <w:pPr>
        <w:pStyle w:val="BodyTextIndent"/>
      </w:pPr>
      <w:r>
        <w:t xml:space="preserve">Every row is a tie under the decision rule. But the </w:t>
      </w:r>
      <w:r>
        <w:rPr>
          <w:i/>
        </w:rPr>
        <w:t>ordering</w:t>
      </w:r>
      <w:r>
        <w:t xml:space="preserve"> is the finding, and it is perfectly monotone: </w:t>
      </w:r>
      <w:r>
        <w:rPr>
          <w:b/>
        </w:rPr>
        <w:t>the benefit of the engineered features is inversely proportional to the learner's native capacity to represent interactions.</w:t>
      </w:r>
      <w:r>
        <w:t xml:space="preserve"> Logistic regression, which is additive in its inputs and can represent no interaction unless one is handed to it, gains the most (+0.015) and gains it with 10/10 sign consistency. The gradient-boosted trees, which discover threshold interactions natively, gain from little (+0.005 for HistGradientBoosting, +0.002 for CatBoost) to nothing at all (+0.000 for XGBoost, sign 4/10).</w:t>
      </w:r>
    </w:p>
    <w:p>
      <w:pPr>
        <w:pStyle w:val="BodyTextIndent"/>
      </w:pPr>
      <w:r>
        <w:t xml:space="preserve">This is the interpretive key to the whole feature-engineering result. Features that supplied genuinely </w:t>
      </w:r>
      <w:r>
        <w:rPr>
          <w:i/>
        </w:rPr>
        <w:t>new</w:t>
      </w:r>
      <w:r>
        <w:t xml:space="preserve"> information — a measurement not previously available, a channel not previously encoded — would help every learner. Features that </w:t>
      </w:r>
      <w:r>
        <w:rPr>
          <w:i/>
        </w:rPr>
        <w:t>re-express</w:t>
      </w:r>
      <w:r>
        <w:t xml:space="preserve"> information already present help only those learners that could not extract it themselves. The engineered block behaves unambiguously like the second kind. It is an excellent representation; it is not additional evidence.</w:t>
      </w:r>
    </w:p>
    <w:p>
      <w:pPr>
        <w:pStyle w:val="BodyTextIndent"/>
      </w:pPr>
      <w:r>
        <w:t xml:space="preserve">Section 4.7 supplies the complementary observation from the opposite direction: the model </w:t>
      </w:r>
      <w:r>
        <w:rPr>
          <w:i/>
        </w:rPr>
        <w:t>uses</w:t>
      </w:r>
      <w:r>
        <w:t xml:space="preserve"> these features heavily. The two facts together are consistent only with re-expression.</w:t>
      </w:r>
    </w:p>
    <w:p>
      <w:pPr>
        <w:pStyle w:val="Heading2"/>
      </w:pPr>
      <w:r>
        <w:t>4.3 Phase 2 — does the sequence encoder earn its place?</w:t>
      </w:r>
    </w:p>
    <w:p>
      <w:pPr>
        <w:pStyle w:val="BodyTextIndent"/>
      </w:pPr>
      <w:r>
        <w:t>Encoder B was added as a third expert with the tree component held fixed, so the difference isolates the sequence encoder.</w:t>
      </w:r>
    </w:p>
    <w:p>
      <w:pPr>
        <w:pStyle w:val="Caption"/>
        <w:spacing w:before="160" w:after="160"/>
      </w:pPr>
      <w:r>
        <w:rPr>
          <w:b/>
          <w:sz w:val="18"/>
        </w:rPr>
        <w:t>[TABLE 5 HERE] — Table 5.</w:t>
      </w:r>
      <w:r>
        <w:rPr>
          <w:sz w:val="18"/>
        </w:rPr>
        <w:t xml:space="preserve"> Encoder B ablation. Encoder B is the temporal-attention model at 12,585 parameters; all arms use the standardised-logit gate of §3.4.3.</w:t>
      </w:r>
    </w:p>
    <w:p>
      <w:pPr>
        <w:pStyle w:val="BodyTextIndent"/>
      </w:pPr>
      <w:r>
        <w:t>Adding the sequence encoder does not help under either component, and both point estimates are negative (−0.005 with CatBoost experts, −0.003 with XGBoost experts). Encoder B is not useless in isolation — at 0.813 it is a competent standalone model, within noise of XGBoost on the full union view — but it contributes nothing that the tree experts have not already extracted from the same visits.</w:t>
      </w:r>
    </w:p>
    <w:p>
      <w:pPr>
        <w:pStyle w:val="BodyTextIndent"/>
      </w:pPr>
      <w:r>
        <w:t xml:space="preserve">The gate reaches the same conclusion independently. Given three experts and no instruction about which to prefer, it assigns Encoder B a mean weight of </w:t>
      </w:r>
      <w:r>
        <w:rPr>
          <w:b/>
        </w:rPr>
        <w:t>0.195</w:t>
      </w:r>
      <w:r>
        <w:t xml:space="preserve"> against the 0.333 it would receive under an equal split, in every fold. The architecture, left to its own devices, learns to discount the component we added.</w:t>
      </w:r>
    </w:p>
    <w:p>
      <w:pPr>
        <w:pStyle w:val="Heading2"/>
      </w:pPr>
      <w:r>
        <w:t>4.4 Calibration — the one place the arms genuinely separate</w:t>
      </w:r>
    </w:p>
    <w:p>
      <w:pPr>
        <w:pStyle w:val="BodyTextIndent"/>
      </w:pPr>
      <w:r>
        <w:t>Discrimination ties everywhere. Calibration does not.</w:t>
      </w:r>
    </w:p>
    <w:p>
      <w:pPr>
        <w:pStyle w:val="BodyTextIndent"/>
      </w:pPr>
      <w:r>
        <w:t>The Cox calibration slope measures whether predicted log-odds are correctly scaled: 1.0 is correct, and below 1.0 means the model is over-confident, pushing risks too far toward 0 and 1. The CatBoost-derived arms sit at 0.923 and 0.946. The XGBoost-derived arms sit at 0.430 and 0.480 — their predicted log-odds are roughly twice as extreme as the data support. Expected calibration error tracks it: 0.030–0.037 for the CatBoost family against 0.082–0.093 for the XGBoost family.</w:t>
      </w:r>
    </w:p>
    <w:p>
      <w:pPr>
        <w:pStyle w:val="BodyTextIndent"/>
      </w:pPr>
      <w:r>
        <w:t xml:space="preserve">The per-fold distributions </w:t>
      </w:r>
      <w:r>
        <w:rPr>
          <w:b/>
        </w:rPr>
        <w:t>do not overlap at all</w:t>
      </w:r>
      <w:r>
        <w:t>. XGBoost's worst-to-best calibration slope across ten folds spans 0.310–0.495; CatBoost's spans 0.684–1.061.</w:t>
      </w:r>
    </w:p>
    <w:p>
      <w:pPr>
        <w:pStyle w:val="Caption"/>
        <w:spacing w:before="160" w:after="160"/>
      </w:pPr>
      <w:r>
        <w:rPr>
          <w:b/>
          <w:sz w:val="18"/>
        </w:rPr>
        <w:t>[FIGURE 1 HERE] — Figure 1.</w:t>
      </w:r>
      <w:r>
        <w:rPr>
          <w:sz w:val="18"/>
        </w:rPr>
        <w:t xml:space="preserve"> Reliability curves, pooled out-of-fold. The two XGBoost-derived arms bow away from the diagonal in the same direction; the CatBoost-derived arms track it. </w:t>
      </w:r>
      <w:r>
        <w:rPr>
          <w:i/>
          <w:sz w:val="18"/>
        </w:rPr>
        <w:t>(Source figure: figures/cafe/fig_cafe_calibration.png)</w:t>
      </w:r>
    </w:p>
    <w:p>
      <w:pPr>
        <w:pStyle w:val="BodyTextIndent"/>
      </w:pPr>
      <w:r>
        <w:t xml:space="preserve">The practical consequence runs opposite to the paper's other findings. Two arms that are indistinguishable on AUROC — XGBoost at 0.830 and CatBoost at 0.851 are only 0.021 apart — differ by a factor of two in whether their stated probabilities can be believed. </w:t>
      </w:r>
      <w:r>
        <w:rPr>
          <w:b/>
        </w:rPr>
        <w:t>A model selected on AUROC alone would not have detected this</w:t>
      </w:r>
      <w:r>
        <w:t>, and a 12 % predicted risk from the XGBoost arm does not mean what a 12 % predicted risk from the CatBoost arm means.</w:t>
      </w:r>
    </w:p>
    <w:p>
      <w:pPr>
        <w:pStyle w:val="BodyTextIndent"/>
      </w:pPr>
      <w:r>
        <w:t>Between CAFE and its matched CatBoost comparator, calibration is a tie under both formulations of the rule discussed next (slope Δ = +0.023, 8/10; ECE Δ = −0.007, 8/10).</w:t>
      </w:r>
    </w:p>
    <w:p>
      <w:pPr>
        <w:pStyle w:val="BodyTextIndent"/>
        <w:keepNext/>
        <w:spacing w:before="120"/>
        <w:ind w:firstLine="0"/>
        <w:jc w:val="left"/>
      </w:pPr>
      <w:r>
        <w:rPr>
          <w:b/>
        </w:rPr>
        <w:t>4.4.1 A defect in our own decision rule, reported rather than resolved silently</w:t>
      </w:r>
    </w:p>
    <w:p>
      <w:pPr>
        <w:pStyle w:val="BodyTextIndent"/>
      </w:pPr>
      <w:r>
        <w:t xml:space="preserve">Applied literally, our rule returns TIE for the XGBoost-versus-CatBoost calibration comparison (Δ = −0.493, 2 × pooled SD = 0.520, sign 10/10). The reason is a defect in the rule's </w:t>
      </w:r>
      <w:r>
        <w:rPr>
          <w:i/>
        </w:rPr>
        <w:t>implementation</w:t>
      </w:r>
      <w:r>
        <w:t xml:space="preserve"> that this is the first comparison in the project to expose: the pooled standard deviation is computed by concatenating both arms' fold values, so when two arms are far apart the "pooled SD" absorbs the very gap being tested and inflates the threshold. Computing the pooled </w:t>
      </w:r>
      <w:r>
        <w:rPr>
          <w:i/>
        </w:rPr>
        <w:t>within-arm</w:t>
      </w:r>
      <w:r>
        <w:t xml:space="preserve"> standard deviation instead — the quantity the rule's wording actually describes — gives 2 × SD = 0.175 against Δ = −0.493 with 10/10 sign agreement, a </w:t>
      </w:r>
      <w:r>
        <w:rPr>
          <w:b/>
        </w:rPr>
        <w:t>REAL</w:t>
      </w:r>
      <w:r>
        <w:t xml:space="preserve"> difference.</w:t>
      </w:r>
    </w:p>
    <w:p>
      <w:pPr>
        <w:pStyle w:val="BodyTextIndent"/>
      </w:pPr>
      <w:r>
        <w:t xml:space="preserve">We have verified that this distinction changes nothing previously reported. Across all 56 pairwise AUROC comparisons in this study for which per-fold values are retained, </w:t>
      </w:r>
      <w:r>
        <w:rPr>
          <w:b/>
        </w:rPr>
        <w:t>the two formulations return identical verdicts in every case</w:t>
      </w:r>
      <w:r>
        <w:t>; the ratio of concatenated to within-arm SD is 0.95–1.04 for AUROC and 2.97 for the calibration slope. The rule is sound in the regime it was written for, where arms differ by less than their fold-to-fold noise, and misbehaves only where a difference is large — which had never previously occurred.</w:t>
      </w:r>
    </w:p>
    <w:p>
      <w:pPr>
        <w:pStyle w:val="BodyTextIndent"/>
      </w:pPr>
      <w:r>
        <w:t xml:space="preserve">We note finally that the comparison that flips is between two </w:t>
      </w:r>
      <w:r>
        <w:rPr>
          <w:i/>
        </w:rPr>
        <w:t>baselines</w:t>
      </w:r>
      <w:r>
        <w:t>, and that it reflects badly on the component originally proposed for this hybrid. No claim of ours is advanced by reporting it.</w:t>
      </w:r>
    </w:p>
    <w:p>
      <w:pPr>
        <w:pStyle w:val="Heading2"/>
      </w:pPr>
      <w:r>
        <w:t>4.5 Clinical utility — decision-curve analysis</w:t>
      </w:r>
    </w:p>
    <w:p>
      <w:pPr>
        <w:pStyle w:val="Caption"/>
        <w:spacing w:before="160" w:after="160"/>
      </w:pPr>
      <w:r>
        <w:rPr>
          <w:b/>
          <w:sz w:val="18"/>
        </w:rPr>
        <w:t>[TABLE 6 HERE] — Table 6.</w:t>
      </w:r>
      <w:r>
        <w:rPr>
          <w:sz w:val="18"/>
        </w:rPr>
        <w:t xml:space="preserve"> Net benefit at representative risk thresholds, pooled out-of-fold (repeat 2), against the treat-all and treat-none default strategies.</w:t>
      </w:r>
    </w:p>
    <w:p>
      <w:pPr>
        <w:pStyle w:val="BodyTextIndent"/>
      </w:pPr>
      <w:r>
        <w:t xml:space="preserve">Mean net benefit above the better of the two default strategies, across thresholds 0.05–0.50, is CAFE </w:t>
      </w:r>
      <w:r>
        <w:rPr>
          <w:b/>
        </w:rPr>
        <w:t>+0.0744</w:t>
      </w:r>
      <w:r>
        <w:t>, CatBoost +0.0737, logistic regression +0.0648, CAFE-XGB +0.0626, and XGBoost +0.0617.</w:t>
      </w:r>
    </w:p>
    <w:p>
      <w:pPr>
        <w:pStyle w:val="BodyTextIndent"/>
      </w:pPr>
      <w:r>
        <w:t xml:space="preserve">Two things follow. First, </w:t>
      </w:r>
      <w:r>
        <w:rPr>
          <w:b/>
        </w:rPr>
        <w:t>every model is substantially more useful than either default strategy</w:t>
      </w:r>
      <w:r>
        <w:t xml:space="preserve"> across the entire clinically plausible threshold range. At a 20 % threshold, treating everyone yields a net benefit of 0.0042 — essentially nothing, because at 20.3 % prevalence treat-all sits at its break-even point — while every model yields 0.10 to 0.11. This is the paper's clearest positive result, and it is a property of the </w:t>
      </w:r>
      <w:r>
        <w:rPr>
          <w:i/>
        </w:rPr>
        <w:t>task and the features</w:t>
      </w:r>
      <w:r>
        <w:t xml:space="preserve"> rather than of any architecture, since all five arms achieve it.</w:t>
      </w:r>
    </w:p>
    <w:p>
      <w:pPr>
        <w:pStyle w:val="BodyTextIndent"/>
      </w:pPr>
      <w:r>
        <w:t>Second, the arms again do not separate from one another. The spread between the best and worst arm's mean net benefit (0.0128) is smaller than the gap between the worst arm and the default strategies (0.0617).</w:t>
      </w:r>
    </w:p>
    <w:p>
      <w:pPr>
        <w:pStyle w:val="Caption"/>
        <w:spacing w:before="160" w:after="160"/>
      </w:pPr>
      <w:r>
        <w:rPr>
          <w:b/>
          <w:sz w:val="18"/>
        </w:rPr>
        <w:t>[FIGURE 2 HERE] — Figure 2.</w:t>
      </w:r>
      <w:r>
        <w:rPr>
          <w:sz w:val="18"/>
        </w:rPr>
        <w:t xml:space="preserve"> Net benefit against risk threshold, with treat-all and treat-none references. The five model curves are visually superimposed; all sit far above both defaults beyond a 15 % threshold. </w:t>
      </w:r>
      <w:r>
        <w:rPr>
          <w:i/>
          <w:sz w:val="18"/>
        </w:rPr>
        <w:t>(Source figure: figures/cafe/fig_cafe_decision_curve.png)</w:t>
      </w:r>
    </w:p>
    <w:p>
      <w:pPr>
        <w:pStyle w:val="Heading2"/>
      </w:pPr>
      <w:r>
        <w:t>4.6 The screening operating point</w:t>
      </w:r>
    </w:p>
    <w:p>
      <w:pPr>
        <w:pStyle w:val="Caption"/>
        <w:spacing w:before="160" w:after="160"/>
      </w:pPr>
      <w:r>
        <w:rPr>
          <w:b/>
          <w:sz w:val="18"/>
        </w:rPr>
        <w:t>[TABLE 7 HERE] — Table 7.</w:t>
      </w:r>
      <w:r>
        <w:rPr>
          <w:sz w:val="18"/>
        </w:rPr>
        <w:t xml:space="preserve"> Performance at a 90 %-sensitivity screening threshold. The threshold is selected on repeat 1 and scored on repeat 2, so it is never chosen and reported on the same predictions.</w:t>
      </w:r>
    </w:p>
    <w:p>
      <w:pPr>
        <w:pStyle w:val="BodyTextIndent"/>
      </w:pPr>
      <w:r>
        <w:t>At matched sensitivity near 90 %, CAFE flags 53.9 % of the cohort against XGBoost's 62.3 % — 8.4 percentage points fewer patients referred for the same case detection. NPV is 0.955: of the patients the model clears, roughly 1 in 22 nonetheless experiences loss, which sets a firm ceiling on how such an output could be used in practice.</w:t>
      </w:r>
    </w:p>
    <w:p>
      <w:pPr>
        <w:pStyle w:val="BodyTextIndent"/>
      </w:pPr>
      <w:r>
        <w:rPr>
          <w:b/>
        </w:rPr>
        <w:t>This table carries a weaker warrant than the others in this paper</w:t>
      </w:r>
      <w:r>
        <w:t>, and we flag that explicitly: it is a single split-derived comparison rather than a ten-fold estimate, so the decision rule cannot be applied to it and the ordering should not be treated as established. Note also that the selected thresholds differ by an order of magnitude across arms, from 0.004 to 0.081 — a direct consequence of the calibration differences in §4.4, and a reminder that a threshold tuned for one model is meaningless when transferred to another.</w:t>
      </w:r>
    </w:p>
    <w:p>
      <w:pPr>
        <w:pStyle w:val="Heading2"/>
      </w:pPr>
      <w:r>
        <w:t>4.7 Attribution — the engineered features dominate the explanation</w:t>
      </w:r>
    </w:p>
    <w:p>
      <w:pPr>
        <w:pStyle w:val="Caption"/>
        <w:spacing w:before="160" w:after="160"/>
      </w:pPr>
      <w:r>
        <w:rPr>
          <w:b/>
          <w:sz w:val="18"/>
        </w:rPr>
        <w:t>[TABLE 8 HERE] — Table 8.</w:t>
      </w:r>
      <w:r>
        <w:rPr>
          <w:sz w:val="18"/>
        </w:rPr>
        <w:t xml:space="preserve"> Top 15 features by mean |SHAP|, out-of-fold exact TreeSHAP over all 3000 patients, with the view each feature belongs to.</w:t>
      </w:r>
    </w:p>
    <w:p>
      <w:pPr>
        <w:pStyle w:val="Caption"/>
        <w:spacing w:before="160" w:after="160"/>
      </w:pPr>
      <w:r>
        <w:rPr>
          <w:b/>
          <w:sz w:val="18"/>
        </w:rPr>
        <w:t>[FIGURE 3 HERE] — Figure 3.</w:t>
      </w:r>
      <w:r>
        <w:rPr>
          <w:sz w:val="18"/>
        </w:rPr>
        <w:t xml:space="preserve"> Top 20 features by mean |SHAP|, coloured by view. Engineered features occupy 13 of the top 20 places. </w:t>
      </w:r>
      <w:r>
        <w:rPr>
          <w:i/>
          <w:sz w:val="18"/>
        </w:rPr>
        <w:t>(Source figure: figures/cafe/fig_cafe_shap.png)</w:t>
      </w:r>
    </w:p>
    <w:p>
      <w:pPr>
        <w:pStyle w:val="BodyTextIndent"/>
      </w:pPr>
      <w:r>
        <w:t xml:space="preserve">The engineered block carries </w:t>
      </w:r>
      <w:r>
        <w:rPr>
          <w:b/>
        </w:rPr>
        <w:t>66.8 %</w:t>
      </w:r>
      <w:r>
        <w:t xml:space="preserve"> of total attribution mass and supplies 13 of the top 20 features. The discordance feature </w:t>
      </w:r>
      <w:r>
        <w:rPr>
          <w:rFonts w:ascii="Consolas" w:hAnsi="Consolas"/>
          <w:sz w:val="18"/>
        </w:rPr>
        <w:t>disc_last_CRL_YSD</w:t>
      </w:r>
      <w:r>
        <w:t xml:space="preserve"> — the gap between crown–rump length and yolk-sac diameter, each normalised for gestational age — is the third most important feature in the model, and the maternal composite is second.</w:t>
      </w:r>
    </w:p>
    <w:p>
      <w:pPr>
        <w:pStyle w:val="BodyTextIndent"/>
      </w:pPr>
      <w:r>
        <w:rPr>
          <w:b/>
        </w:rPr>
        <w:t>This is the sharpest illustration of the paper's central distinction.</w:t>
      </w:r>
      <w:r>
        <w:t xml:space="preserve"> By any attribution-based reading, the engineered features are what the model is using. By the controlled ablation of §4.2, removing them costs CatBoost 0.002 AUROC. Both are true, and they are compatible only if the features are a </w:t>
      </w:r>
      <w:r>
        <w:rPr>
          <w:i/>
        </w:rPr>
        <w:t>re-expression</w:t>
      </w:r>
      <w:r>
        <w:t xml:space="preserve"> of signal the model could otherwise reach by a different route. </w:t>
      </w:r>
      <w:r>
        <w:rPr>
          <w:b/>
        </w:rPr>
        <w:t>Feature importance measures what a model relies on given the features it has; it does not measure what those features contributed over not having them.</w:t>
      </w:r>
      <w:r>
        <w:t xml:space="preserve"> Reporting the SHAP table without the ablation would have made a compelling and entirely unfounded case for the feature engineering.</w:t>
      </w:r>
    </w:p>
    <w:p>
      <w:pPr>
        <w:pStyle w:val="BodyTextIndent"/>
      </w:pPr>
      <w:r>
        <w:t xml:space="preserve">Three high-risk and three low-risk out-of-fold cases are reported in the released case file. The highest-risk patient (predicted 0.998, true label loss) is driven by </w:t>
      </w:r>
      <w:r>
        <w:rPr>
          <w:rFonts w:ascii="Consolas" w:hAnsi="Consolas"/>
          <w:sz w:val="18"/>
        </w:rPr>
        <w:t>mat_composite</w:t>
      </w:r>
      <w:r>
        <w:t xml:space="preserve"> = 4.02 (SHAP +1.23), age 40.7 (+0.91) and </w:t>
      </w:r>
      <w:r>
        <w:rPr>
          <w:rFonts w:ascii="Consolas" w:hAnsi="Consolas"/>
          <w:sz w:val="18"/>
        </w:rPr>
        <w:t>disc_last_CRL_YSD</w:t>
      </w:r>
      <w:r>
        <w:t xml:space="preserve"> = −1.73 (+0.73) — a legible chain of reasoning combining maternal risk with sonographic discordance. We also report a failure: patient </w:t>
      </w:r>
      <w:r>
        <w:rPr>
          <w:rFonts w:ascii="Consolas" w:hAnsi="Consolas"/>
          <w:sz w:val="18"/>
        </w:rPr>
        <w:t>P00310</w:t>
      </w:r>
      <w:r>
        <w:t xml:space="preserve"> receives a predicted risk of 0.003 and nonetheless experienced loss, with the model's confidence driven by a low BMI of 16.0 and favourable maternal terms. Individual attributions explain what the model did; they do not certify that it was right.</w:t>
      </w:r>
    </w:p>
    <w:p>
      <w:pPr>
        <w:pStyle w:val="Heading2"/>
      </w:pPr>
      <w:r>
        <w:t>4.8 The gate is confidently per-patient, and it does not matter</w:t>
      </w:r>
    </w:p>
    <w:p>
      <w:pPr>
        <w:pStyle w:val="BodyTextIndent"/>
      </w:pPr>
      <w:r>
        <w:t>A gate that collapses to a near-constant weight is a fixed blend wearing a gate's clothing. This one does not collapse.</w:t>
      </w:r>
    </w:p>
    <w:p>
      <w:pPr>
        <w:pStyle w:val="BodyTextIndent"/>
      </w:pPr>
      <w:r>
        <w:t xml:space="preserve">Across out-of-fold patients the weight on Encoder A has </w:t>
      </w:r>
      <w:r>
        <w:rPr>
          <w:b/>
        </w:rPr>
        <w:t>mean 0.557 and standard deviation 0.402, spanning the full range from 0.000 to 1.000</w:t>
      </w:r>
      <w:r>
        <w:t>. The distribution is close to bimodal: 55.9 % of patients are routed predominantly to the flat expert and 44.1 % predominantly to the cross-modal expert. The gate is making confident, patient-specific routing decisions.</w:t>
      </w:r>
    </w:p>
    <w:p>
      <w:pPr>
        <w:pStyle w:val="BodyTextIndent"/>
      </w:pPr>
      <w:r>
        <w:t xml:space="preserve">Its policy is also clinically legible. The weight correlates most strongly and negatively with the yolk-sac measurements — </w:t>
      </w:r>
      <w:r>
        <w:rPr>
          <w:rFonts w:ascii="Consolas" w:hAnsi="Consolas"/>
          <w:sz w:val="18"/>
        </w:rPr>
        <w:t>zYSD_last</w:t>
      </w:r>
      <w:r>
        <w:t xml:space="preserve"> (−0.309), </w:t>
      </w:r>
      <w:r>
        <w:rPr>
          <w:rFonts w:ascii="Consolas" w:hAnsi="Consolas"/>
          <w:sz w:val="18"/>
        </w:rPr>
        <w:t>zYSD_mean</w:t>
      </w:r>
      <w:r>
        <w:t xml:space="preserve"> (−0.285), </w:t>
      </w:r>
      <w:r>
        <w:rPr>
          <w:rFonts w:ascii="Consolas" w:hAnsi="Consolas"/>
          <w:sz w:val="18"/>
        </w:rPr>
        <w:t>YSD_latest</w:t>
      </w:r>
      <w:r>
        <w:t xml:space="preserve"> (−0.285) — and positively with maternal gravidity (+0.220) and age (+0.217). In plain terms: </w:t>
      </w:r>
      <w:r>
        <w:rPr>
          <w:b/>
        </w:rPr>
        <w:t>when the yolk sac looks abnormal, the gate routes the patient to the cross-modal expert; when the patient's maternal risk profile is prominent, it routes to the flat expert.</w:t>
      </w:r>
      <w:r>
        <w:t xml:space="preserve"> That is a sensible policy, and nobody specified it.</w:t>
      </w:r>
    </w:p>
    <w:p>
      <w:pPr>
        <w:pStyle w:val="BodyTextIndent"/>
      </w:pPr>
      <w:r>
        <w:t xml:space="preserve">It is worth </w:t>
      </w:r>
      <w:r>
        <w:rPr>
          <w:b/>
        </w:rPr>
        <w:t>+0.001 AUROC</w:t>
      </w:r>
      <w:r>
        <w:t xml:space="preserve"> (§4.1).</w:t>
      </w:r>
    </w:p>
    <w:p>
      <w:pPr>
        <w:pStyle w:val="BodyTextIndent"/>
      </w:pPr>
      <w:r>
        <w:t xml:space="preserve">We consider this the most interesting single result in the paper. The usual explanation for a gate failing to help is that it failed to learn anything — that it degenerated to an average. That explanation is unavailable here. This gate learned a confident, coherent, interpretable routing policy, and the policy made no difference to any outcome measure, because both experts were already extracting substantially the same signal from the same patients. </w:t>
      </w:r>
      <w:r>
        <w:rPr>
          <w:b/>
        </w:rPr>
        <w:t>Gate behaviour and gate benefit are separate measurements, and reporting only the first would have been evidence for a conclusion the second contradicts.</w:t>
      </w:r>
    </w:p>
    <w:p>
      <w:pPr>
        <w:pStyle w:val="Heading2"/>
      </w:pPr>
      <w:r>
        <w:t>4.9 Cost</w:t>
      </w:r>
    </w:p>
    <w:p>
      <w:pPr>
        <w:pStyle w:val="Caption"/>
        <w:spacing w:before="160" w:after="160"/>
      </w:pPr>
      <w:r>
        <w:rPr>
          <w:b/>
          <w:sz w:val="18"/>
        </w:rPr>
        <w:t>[TABLE 9 HERE] — Table 9.</w:t>
      </w:r>
      <w:r>
        <w:rPr>
          <w:sz w:val="18"/>
        </w:rPr>
        <w:t xml:space="preserve"> Training and inference cost, measured on one fold on the same machine as all accuracy results. Deep-model figures are from the same programme's runtime benchmark on the same cohort. Inference for the CAFE arms is a component sum — two tree evaluations plus a 418-parameter MLP forward pass — rather than a direct end-to-end measurement, and is marked as an estimate.</w:t>
      </w:r>
    </w:p>
    <w:p>
      <w:pPr>
        <w:pStyle w:val="BodyTextIndent"/>
      </w:pPr>
      <w:r>
        <w:t xml:space="preserve">Against the deep architectures, CAFE-XGB trains </w:t>
      </w:r>
      <w:r>
        <w:rPr>
          <w:b/>
        </w:rPr>
        <w:t>75×</w:t>
      </w:r>
      <w:r>
        <w:t xml:space="preserve"> faster and CAFE-CatBoost </w:t>
      </w:r>
      <w:r>
        <w:rPr>
          <w:b/>
        </w:rPr>
        <w:t>6.2×</w:t>
      </w:r>
      <w:r>
        <w:t xml:space="preserve"> faster than the FETA-Transformer, at roughly 100× lower inference cost. Against its own matched baseline the direction reverses: CAFE-CatBoost costs </w:t>
      </w:r>
      <w:r>
        <w:rPr>
          <w:b/>
        </w:rPr>
        <w:t>5.3×</w:t>
      </w:r>
      <w:r>
        <w:t xml:space="preserve"> a single CatBoost fit, and CAFE-XGB </w:t>
      </w:r>
      <w:r>
        <w:rPr>
          <w:b/>
        </w:rPr>
        <w:t>10.6×</w:t>
      </w:r>
      <w:r>
        <w:t xml:space="preserve"> a single XGBoost fit, for +0.001 and +0.003 AUROC respectively.</w:t>
      </w:r>
    </w:p>
    <w:p>
      <w:pPr>
        <w:pStyle w:val="BodyTextIndent"/>
      </w:pPr>
      <w:r>
        <w:t>The gate itself is 418 parameters. Whatever CAFE's merits, parameter economy relative to the deep models is not principally an achievement of the fusion design — it is an achievement of using trees.</w:t>
      </w:r>
    </w:p>
    <w:p>
      <w:pPr>
        <w:pStyle w:val="Caption"/>
        <w:spacing w:before="160" w:after="160"/>
      </w:pPr>
      <w:r>
        <w:rPr>
          <w:b/>
          <w:sz w:val="18"/>
        </w:rPr>
        <w:t>[FIGURE 4 HERE] — Figure 4.</w:t>
      </w:r>
      <w:r>
        <w:rPr>
          <w:sz w:val="18"/>
        </w:rPr>
        <w:t xml:space="preserve"> AUROC against training time on a logarithmic axis. The frontier is flat: two orders of magnitude of additional compute buy approximately 0.02 AUROC, and the last 5× buys 0.001. </w:t>
      </w:r>
      <w:r>
        <w:rPr>
          <w:i/>
          <w:sz w:val="18"/>
        </w:rPr>
        <w:t>(Source figure: figures/cafe/fig_cafe_accuracy_vs_cost.png)</w:t>
      </w:r>
    </w:p>
    <w:p>
      <w:pPr>
        <w:pStyle w:val="Heading2"/>
      </w:pPr>
      <w:r>
        <w:t>4.10 Where the accuracy actually comes from</w:t>
      </w:r>
    </w:p>
    <w:p>
      <w:pPr>
        <w:pStyle w:val="BodyTextIndent"/>
      </w:pPr>
      <w:r>
        <w:t>Assembling the controlled ablations into a single path from the simplest model to the proposed one, each step changing exactly one thing:</w:t>
      </w:r>
    </w:p>
    <w:p>
      <w:pPr>
        <w:pStyle w:val="Caption"/>
        <w:spacing w:before="160" w:after="160"/>
      </w:pPr>
      <w:r>
        <w:rPr>
          <w:b/>
          <w:sz w:val="18"/>
        </w:rPr>
        <w:t>[TABLE 10 HERE] — Table 10.</w:t>
      </w:r>
      <w:r>
        <w:rPr>
          <w:sz w:val="18"/>
        </w:rPr>
        <w:t xml:space="preserve"> Decomposition of the final AUROC: a five-step path from logistic regression on the base table to the full CAFE system, each step altering exactly one component.</w:t>
      </w:r>
    </w:p>
    <w:p>
      <w:pPr>
        <w:pStyle w:val="Caption"/>
        <w:spacing w:before="160" w:after="160"/>
      </w:pPr>
      <w:r>
        <w:rPr>
          <w:b/>
          <w:sz w:val="18"/>
        </w:rPr>
        <w:t>[FIGURE 5 HERE] — Figure 5.</w:t>
      </w:r>
      <w:r>
        <w:rPr>
          <w:sz w:val="18"/>
        </w:rPr>
        <w:t xml:space="preserve"> The same decomposition rendered as a waterfall. </w:t>
      </w:r>
      <w:r>
        <w:rPr>
          <w:i/>
          <w:sz w:val="18"/>
        </w:rPr>
        <w:t>(Source figure: figures/cafe/fig_cafe_ablation.png)</w:t>
      </w:r>
    </w:p>
    <w:p>
      <w:pPr>
        <w:pStyle w:val="BodyTextIndent"/>
      </w:pPr>
      <w:r>
        <w:t xml:space="preserve">The total journey from step 0 to CAFE is </w:t>
      </w:r>
      <w:r>
        <w:rPr>
          <w:b/>
        </w:rPr>
        <w:t>+0.030</w:t>
      </w:r>
      <w:r>
        <w:t xml:space="preserve"> AUROC. Of that, </w:t>
      </w:r>
      <w:r>
        <w:rPr>
          <w:b/>
        </w:rPr>
        <w:t>+0.021 is the choice of boosting library</w:t>
      </w:r>
      <w:r>
        <w:t xml:space="preserve"> and </w:t>
      </w:r>
      <w:r>
        <w:rPr>
          <w:b/>
        </w:rPr>
        <w:t>+0.015 is the engineered features</w:t>
      </w:r>
      <w:r>
        <w:t xml:space="preserve"> — but the latter only for a learner weak enough to need them, since by step 3 the same features are worth +0.002. </w:t>
      </w:r>
      <w:r>
        <w:rPr>
          <w:b/>
        </w:rPr>
        <w:t>The fusion architecture that the system is named for contributes +0.001</w:t>
      </w:r>
      <w:r>
        <w:t>, and the sequence encoder contributes −0.005.</w:t>
      </w:r>
    </w:p>
    <w:p>
      <w:pPr>
        <w:pStyle w:val="BodyTextIndent"/>
      </w:pPr>
      <w:r>
        <w:t xml:space="preserve">Every individual step in this table is a tie under the decision rule. The decomposition is nonetheless informative, because the </w:t>
      </w:r>
      <w:r>
        <w:rPr>
          <w:i/>
        </w:rPr>
        <w:t>relative</w:t>
      </w:r>
      <w:r>
        <w:t xml:space="preserve"> magnitudes are stable and consistently signed, and because they indicate where effort should go: on this problem, choosing the component and representing the features well dominates designing the fusion mechanism by more than an order of magnitude.</w:t>
      </w:r>
    </w:p>
    <w:p>
      <w:pPr>
        <w:pStyle w:val="Heading1"/>
      </w:pPr>
      <w:r>
        <w:t>5. Discussion</w:t>
      </w:r>
    </w:p>
    <w:p>
      <w:pPr>
        <w:pStyle w:val="Heading2"/>
      </w:pPr>
      <w:r>
        <w:t>5.1 What CAFE delivers</w:t>
      </w:r>
    </w:p>
    <w:p>
      <w:pPr>
        <w:pStyle w:val="BodyTextIndent"/>
      </w:pPr>
      <w:r>
        <w:t>CAFE is a good system and we would deploy it. It attains the highest AUROC point estimate recorded in this research programme (0.852), is the best-calibrated arm we measured (slope 0.946, ECE 0.030) with no post-hoc correction applied, produces the highest mean net benefit across clinically plausible thresholds, flags 8.4 percentage points fewer patients than the XGBoost arm at matched 90 % sensitivity, trains in 43 seconds, predicts in microseconds, and emits both a per-feature attribution and a per-encoder trust weight for every individual patient. Against the deep fusion architectures this line of work began with, it is 6–75× cheaper to train and roughly 100× cheaper at inference, and it is not less accurate than any of them.</w:t>
      </w:r>
    </w:p>
    <w:p>
      <w:pPr>
        <w:pStyle w:val="BodyTextIndent"/>
      </w:pPr>
      <w:r>
        <w:t>Each of those claims is measured on identical folds against baselines given the same features and the same budget. None of them requires the reader to accept that the fusion architecture is what produced the result — which is fortunate, because it is not.</w:t>
      </w:r>
    </w:p>
    <w:p>
      <w:pPr>
        <w:pStyle w:val="Heading2"/>
      </w:pPr>
      <w:r>
        <w:t>5.2 The architecture is not the active ingredient</w:t>
      </w:r>
    </w:p>
    <w:p>
      <w:pPr>
        <w:pStyle w:val="BodyTextIndent"/>
      </w:pPr>
      <w:r>
        <w:t>The central finding is the decomposition of §4.10. Removing CAFE's defining feature — the partition into views and the learned per-patient gate — and replacing it with a single tree on the union of the same features costs +0.001 AUROC, against a fold-to-fold standard deviation of 0.022. The engineered features contribute meaningfully only to learners that cannot represent interactions natively. The sequence encoder contributes negatively. The largest single contributor is the boosting library.</w:t>
      </w:r>
    </w:p>
    <w:p>
      <w:pPr>
        <w:pStyle w:val="BodyTextIndent"/>
      </w:pPr>
      <w:r>
        <w:t xml:space="preserve">We want to be precise about what this does and does not license. It does </w:t>
      </w:r>
      <w:r>
        <w:rPr>
          <w:b/>
        </w:rPr>
        <w:t>not</w:t>
      </w:r>
      <w:r>
        <w:t xml:space="preserve"> show that gated multi-view fusion cannot work, in general or even on this problem with more data. It shows that on this cohort, at this sample size, with these features, the fusion mechanism recovers what a single joint model already recovers — and that a study reporting CAFE's 0.852 without the ablation would have attributed the number to the wrong component.</w:t>
      </w:r>
    </w:p>
    <w:p>
      <w:pPr>
        <w:pStyle w:val="BodyTextIndent"/>
      </w:pPr>
      <w:r>
        <w:t>The distinction matters practically rather than philosophically. A team that believes the gate is the active ingredient will invest in better gates. On this evidence they should invest in better features for weak learners, in better component selection, and — per §4.4 — in calibration.</w:t>
      </w:r>
    </w:p>
    <w:p>
      <w:pPr>
        <w:pStyle w:val="Heading2"/>
      </w:pPr>
      <w:r>
        <w:t>5.3 Why measuring beyond AUROC changed the conclusion</w:t>
      </w:r>
    </w:p>
    <w:p>
      <w:pPr>
        <w:pStyle w:val="BodyTextIndent"/>
      </w:pPr>
      <w:r>
        <w:t>Had this study stopped at discrimination, its finding would have been "all five arms tie", and the choice between them would have looked arbitrary. Calibration produced the one genuine, consistently-signed, non-overlapping separation in the entire study: the XGBoost-derived arms have calibration slopes near 0.45 against the CatBoost-derived arms' 0.93 — a factor of two in whether their probabilities can be believed, invisible to AUROC and nearly invisible to Brier score, which conflates calibration with discrimination and returned a tie.</w:t>
      </w:r>
    </w:p>
    <w:p>
      <w:pPr>
        <w:pStyle w:val="BodyTextIndent"/>
      </w:pPr>
      <w:r>
        <w:t>This has a direct consequence for the operating-point table of §4.6. The thresholds achieving 90 % sensitivity range from 0.004 for XGBoost to 0.081 for logistic regression, a twenty-fold spread driven almost entirely by calibration rather than by any difference in ranking. Any workflow that hard-codes a risk threshold — "refer if predicted risk exceeds 15 %" — is silently coupled to the calibration of the specific model that produced it.</w:t>
      </w:r>
    </w:p>
    <w:p>
      <w:pPr>
        <w:pStyle w:val="BodyTextIndent"/>
      </w:pPr>
      <w:r>
        <w:t>The general lesson is that model-selection criteria determine which differences a study is capable of detecting. This study was designed to detect architectural differences and found none; the difference it did find lay in a dimension nobody had proposed to look at.</w:t>
      </w:r>
    </w:p>
    <w:p>
      <w:pPr>
        <w:pStyle w:val="Heading2"/>
      </w:pPr>
      <w:r>
        <w:t>5.4 Relation to our fusion-architecture benchmark</w:t>
      </w:r>
    </w:p>
    <w:p>
      <w:pPr>
        <w:pStyle w:val="BodyTextIndent"/>
      </w:pPr>
      <w:r>
        <w:t xml:space="preserve">This paper is the constructive complement to a pre-registered benchmark from the same programme, in which eight architecturally distinct fusion families proved statistically indistinguishable on this cohort (AUROC 0.822–0.840, a total spread smaller than any single arm's fold standard deviation). That study asked whether </w:t>
      </w:r>
      <w:r>
        <w:rPr>
          <w:i/>
        </w:rPr>
        <w:t>any</w:t>
      </w:r>
      <w:r>
        <w:t xml:space="preserve"> fusion architecture separates from the others and concluded no. This one asks whether a carefully engineered, clinically-grounded, compute-efficient hybrid can be built that performs well and explains itself, and concludes yes — while locating its performance in its components rather than in its fusion.</w:t>
      </w:r>
    </w:p>
    <w:p>
      <w:pPr>
        <w:pStyle w:val="BodyTextIndent"/>
      </w:pPr>
      <w:r>
        <w:t xml:space="preserve">The two results are consistent and mutually reinforcing. Nothing here overturns the earlier null; CAFE's 0.852 against CatBoost's 0.851 is another instance of it, obtained by a different route with a different architecture and a different feature set. We note in particular that the earlier study's verdicts are </w:t>
      </w:r>
      <w:r>
        <w:rPr>
          <w:b/>
        </w:rPr>
        <w:t>unaffected</w:t>
      </w:r>
      <w:r>
        <w:t xml:space="preserve"> by the decision-rule defect identified in §4.4.1: we re-checked every pairwise AUROC comparison for which per-fold values are retained and found identical verdicts under both formulations.</w:t>
      </w:r>
    </w:p>
    <w:p>
      <w:pPr>
        <w:pStyle w:val="Heading2"/>
      </w:pPr>
      <w:r>
        <w:t>5.5 Limitations</w:t>
      </w:r>
    </w:p>
    <w:p>
      <w:pPr>
        <w:pStyle w:val="BodyTextIndent"/>
      </w:pPr>
      <w:r>
        <w:rPr>
          <w:b/>
        </w:rPr>
        <w:t>The data are synthetic.</w:t>
      </w:r>
      <w:r>
        <w:t xml:space="preserve"> This is the binding limitation and it constrains every clinical reading of this work. No patients were involved. The causal channel strengths are specified parameters rather than measured effect sizes, and the maternal channel is near-deterministic by construction — which is very likely why </w:t>
      </w:r>
      <w:r>
        <w:rPr>
          <w:rFonts w:ascii="Consolas" w:hAnsi="Consolas"/>
          <w:sz w:val="18"/>
        </w:rPr>
        <w:t>age</w:t>
      </w:r>
      <w:r>
        <w:t xml:space="preserve"> and </w:t>
      </w:r>
      <w:r>
        <w:rPr>
          <w:rFonts w:ascii="Consolas" w:hAnsi="Consolas"/>
          <w:sz w:val="18"/>
        </w:rPr>
        <w:t>mat_composite</w:t>
      </w:r>
      <w:r>
        <w:t xml:space="preserve"> dominate the attribution table, and means that table should be read as a description of our generator, not of miscarriage. Whether the discordance features have clinical value is a question this cohort is structurally incapable of answering.</w:t>
      </w:r>
    </w:p>
    <w:p>
      <w:pPr>
        <w:pStyle w:val="BodyTextIndent"/>
      </w:pPr>
      <w:r>
        <w:rPr>
          <w:b/>
        </w:rPr>
        <w:t>The engineered features were designed by us against a generator whose structure we know.</w:t>
      </w:r>
      <w:r>
        <w:t xml:space="preserve"> We did not use the label during feature construction and we verified this, but we cannot claim to have been blind to the data-generating process. On real data the feature block might do better, or considerably worse.</w:t>
      </w:r>
    </w:p>
    <w:p>
      <w:pPr>
        <w:pStyle w:val="BodyTextIndent"/>
      </w:pPr>
      <w:r>
        <w:rPr>
          <w:b/>
        </w:rPr>
        <w:t>A single cohort at n = 3000.</w:t>
      </w:r>
      <w:r>
        <w:t xml:space="preserve"> All confidence intervals here are wide relative to the effects discussed. Several ties would remain ties at any sample size we could plausibly reach, but the +0.021 attributed to the boosting component is a point estimate from ten folds of one cohort and should not be read as a general ranking of boosting libraries.</w:t>
      </w:r>
    </w:p>
    <w:p>
      <w:pPr>
        <w:pStyle w:val="BodyTextIndent"/>
      </w:pPr>
      <w:r>
        <w:rPr>
          <w:b/>
        </w:rPr>
        <w:t>Encoder B was tested at one size.</w:t>
      </w:r>
      <w:r>
        <w:t xml:space="preserve"> A 12,585-parameter temporal attention model does not help. We did not sweep its width, depth, or training budget beyond matching the neural budget used elsewhere in the programme, so "sequence encoders do not help here" is supported only at the scale tested — though we note that the full-size 88,193-parameter version, tested separately, also did not help.</w:t>
      </w:r>
    </w:p>
    <w:p>
      <w:pPr>
        <w:pStyle w:val="BodyTextIndent"/>
      </w:pPr>
      <w:r>
        <w:rPr>
          <w:b/>
        </w:rPr>
        <w:t>The operating-point table rests on a single split</w:t>
      </w:r>
      <w:r>
        <w:t>, and no decision-rule verdict is available for it, as flagged in §4.6.</w:t>
      </w:r>
    </w:p>
    <w:p>
      <w:pPr>
        <w:pStyle w:val="BodyTextIndent"/>
      </w:pPr>
      <w:r>
        <w:rPr>
          <w:b/>
        </w:rPr>
        <w:t>We report per-patient attributions, not causal explanations.</w:t>
      </w:r>
      <w:r>
        <w:t xml:space="preserve"> SHAP values describe the model's use of its inputs. They are not statements about mechanism, and the false-negative case in §4.7 is a confident, well-attributed, wrong prediction.</w:t>
      </w:r>
    </w:p>
    <w:p>
      <w:pPr>
        <w:pStyle w:val="Heading2"/>
      </w:pPr>
      <w:r>
        <w:t>5.6 Recommendations for practice</w:t>
      </w:r>
    </w:p>
    <w:p>
      <w:pPr>
        <w:pStyle w:val="BodyTextIndent"/>
      </w:pPr>
      <w:r>
        <w:t>For practitioners building multimodal clinical predictors in this regime — short sequences, small covariate panels, a few thousand patients:</w:t>
      </w:r>
    </w:p>
    <w:p>
      <w:pPr>
        <w:pStyle w:val="NumberedList"/>
        <w:numPr>
          <w:ilvl w:val="0"/>
          <w:numId w:val="6"/>
        </w:numPr>
      </w:pPr>
      <w:r>
        <w:rPr>
          <w:b/>
        </w:rPr>
        <w:t>Establish the single-joint-model baseline on the union of your features before building any fusion architecture</w:t>
      </w:r>
      <w:r>
        <w:t>, and give it the same feature engineering and the same tuning budget. On this problem it was never beaten.</w:t>
      </w:r>
    </w:p>
    <w:p>
      <w:pPr>
        <w:pStyle w:val="NumberedList"/>
        <w:numPr>
          <w:ilvl w:val="0"/>
          <w:numId w:val="6"/>
        </w:numPr>
      </w:pPr>
      <w:r>
        <w:rPr>
          <w:b/>
        </w:rPr>
        <w:t>Report calibration alongside discrimination.</w:t>
      </w:r>
      <w:r>
        <w:t xml:space="preserve"> It was the only dimension in this study that separated the arms, and it determines whether a fixed decision threshold means anything at all.</w:t>
      </w:r>
    </w:p>
    <w:p>
      <w:pPr>
        <w:pStyle w:val="NumberedList"/>
        <w:numPr>
          <w:ilvl w:val="0"/>
          <w:numId w:val="6"/>
        </w:numPr>
      </w:pPr>
      <w:r>
        <w:rPr>
          <w:b/>
        </w:rPr>
        <w:t>Do not infer feature value from feature importance.</w:t>
      </w:r>
      <w:r>
        <w:t xml:space="preserve"> Our engineered block carries 67 % of attribution mass and contributes 0.002 AUROC to the deployed learner. Only an ablation answers the question that attribution appears to answer.</w:t>
      </w:r>
    </w:p>
    <w:p>
      <w:pPr>
        <w:pStyle w:val="NumberedList"/>
        <w:numPr>
          <w:ilvl w:val="0"/>
          <w:numId w:val="6"/>
        </w:numPr>
      </w:pPr>
      <w:r>
        <w:rPr>
          <w:b/>
        </w:rPr>
        <w:t>Measure gate behaviour and gate benefit separately.</w:t>
      </w:r>
      <w:r>
        <w:t xml:space="preserve"> A gate can be confident, patient-specific, and clinically legible while contributing nothing.</w:t>
      </w:r>
    </w:p>
    <w:p>
      <w:pPr>
        <w:pStyle w:val="NumberedList"/>
        <w:numPr>
          <w:ilvl w:val="0"/>
          <w:numId w:val="6"/>
        </w:numPr>
      </w:pPr>
      <w:r>
        <w:rPr>
          <w:b/>
        </w:rPr>
        <w:t>Report compute.</w:t>
      </w:r>
      <w:r>
        <w:t xml:space="preserve"> It was the only axis on which the deep architectures in this programme differed from the simple ones, and it differed by two orders of magnitude.</w:t>
      </w:r>
    </w:p>
    <w:p>
      <w:pPr>
        <w:pStyle w:val="Heading2"/>
      </w:pPr>
      <w:r>
        <w:t>5.7 Future work</w:t>
      </w:r>
    </w:p>
    <w:p>
      <w:pPr>
        <w:pStyle w:val="BodyTextIndent"/>
      </w:pPr>
      <w:r>
        <w:t>Three directions follow from these results, and one does not.</w:t>
      </w:r>
    </w:p>
    <w:p>
      <w:pPr>
        <w:pStyle w:val="BodyTextIndent"/>
      </w:pPr>
      <w:r>
        <w:rPr>
          <w:b/>
        </w:rPr>
        <w:t>Change the shape of the data, not its difficulty.</w:t>
      </w:r>
      <w:r>
        <w:t xml:space="preserve"> The tree ties every temporal architecture here because a two-to-five-visit trajectory flattens without loss into a fixed-width table. The informative experiment is therefore many more visits per patient, not irregular timing — the present data are already irregularly spaced — and not an easier cohort, on which every architecture saturates and nothing can be measured.</w:t>
      </w:r>
    </w:p>
    <w:p>
      <w:pPr>
        <w:pStyle w:val="BodyTextIndent"/>
      </w:pPr>
      <w:r>
        <w:rPr>
          <w:b/>
        </w:rPr>
        <w:t>Treat calibration as a first-class selection criterion.</w:t>
      </w:r>
      <w:r>
        <w:t xml:space="preserve"> This study found its only real separation there, by accident rather than design. A study powered for calibration rather than for discrimination would be a different and probably more useful study.</w:t>
      </w:r>
    </w:p>
    <w:p>
      <w:pPr>
        <w:pStyle w:val="BodyTextIndent"/>
      </w:pPr>
      <w:r>
        <w:rPr>
          <w:b/>
        </w:rPr>
        <w:t>Test the feature block on real data.</w:t>
      </w:r>
      <w:r>
        <w:t xml:space="preserve"> The features were designed against a generator whose structure we knew. Their value on data we did not construct is genuinely open.</w:t>
      </w:r>
    </w:p>
    <w:p>
      <w:pPr>
        <w:pStyle w:val="BodyTextIndent"/>
      </w:pPr>
      <w:r>
        <w:t xml:space="preserve">What does </w:t>
      </w:r>
      <w:r>
        <w:rPr>
          <w:i/>
        </w:rPr>
        <w:t>not</w:t>
      </w:r>
      <w:r>
        <w:t xml:space="preserve"> follow is further investment in the gate. Its behaviour is already confident and legible; the constraint is not the gate's quality but the absence of complementary signal for it to route between.</w:t>
      </w:r>
    </w:p>
    <w:p>
      <w:pPr>
        <w:pStyle w:val="Heading1"/>
      </w:pPr>
      <w:r>
        <w:t>6. Conclusion</w:t>
      </w:r>
    </w:p>
    <w:p>
      <w:pPr>
        <w:pStyle w:val="BodyTextIndent"/>
      </w:pPr>
      <w:r>
        <w:t>We built the clinically-grounded hybrid that a review of our earlier negative result recommended: five families of engineered features, expert encoders over separate views of the patient, and a per-patient learned gate. It reaches AUROC 0.852 — the best point estimate in this research programme and within the 0.840–0.855 band predicted for it — with good calibration, favourable decision-curve behaviour, full per-patient interpretability, and training times measured in seconds rather than minutes.</w:t>
      </w:r>
    </w:p>
    <w:p>
      <w:pPr>
        <w:pStyle w:val="BodyTextIndent"/>
      </w:pPr>
      <w:r>
        <w:t xml:space="preserve">It also ties the single gradient-boosted tree it is built from, on every measure we computed. A controlled decomposition attributes +0.021 AUROC to the choice of boosting component, +0.015 to the engineered features </w:t>
      </w:r>
      <w:r>
        <w:rPr>
          <w:i/>
        </w:rPr>
        <w:t>for a learner weak enough to need them</w:t>
      </w:r>
      <w:r>
        <w:t xml:space="preserve"> and +0.002 for the one actually deployed, </w:t>
      </w:r>
      <w:r>
        <w:rPr>
          <w:b/>
        </w:rPr>
        <w:t>+0.001 to the gated fusion architecture the system is named for</w:t>
      </w:r>
      <w:r>
        <w:t>, and −0.005 to the sequence encoder. The gate learns a confident, bimodal, clinically legible routing policy — and that policy changes no outcome measure.</w:t>
      </w:r>
    </w:p>
    <w:p>
      <w:pPr>
        <w:pStyle w:val="BodyTextIndent"/>
      </w:pPr>
      <w:r>
        <w:t>The system is worth having. The explanation for why it works is not the one its architecture suggests, and we would rather publish the correct explanation of a good result than an attractive explanation of the same result. The one dimension along which the arms genuinely separated was calibration, which no part of the original proposal — including ours — had identified as the place to look.</w:t>
      </w:r>
    </w:p>
    <w:p>
      <w:pPr>
        <w:pStyle w:val="BodyTextIndent"/>
      </w:pPr>
      <w:r>
        <w:t>All data are synthetic; these findings concern modelling methodology and carry no clinical implication for real pregnancies.</w:t>
      </w:r>
    </w:p>
    <w:p>
      <w:pPr>
        <w:pStyle w:val="Heading1"/>
      </w:pPr>
      <w:r>
        <w:t>Declarations</w:t>
      </w:r>
    </w:p>
    <w:p>
      <w:pPr>
        <w:pStyle w:val="Heading2"/>
      </w:pPr>
      <w:r>
        <w:t>Ethics approval and consent to participate</w:t>
      </w:r>
    </w:p>
    <w:p>
      <w:pPr>
        <w:pStyle w:val="BodyTextIndent"/>
      </w:pPr>
      <w:r>
        <w:t>Not applicable. This study involved no human participants, no animal subjects, and no identifiable data of any kind. All data analysed are synthetic and were generated computationally by the authors. Institutional review board approval and informed consent were therefore not required.</w:t>
      </w:r>
    </w:p>
    <w:p>
      <w:pPr>
        <w:pStyle w:val="Heading2"/>
      </w:pPr>
      <w:r>
        <w:t>Consent for publication</w:t>
      </w:r>
    </w:p>
    <w:p>
      <w:pPr>
        <w:pStyle w:val="BodyTextIndent"/>
      </w:pPr>
      <w:r>
        <w:t>Not applicable. No individual person's data are reported. All patient identifiers appearing in this manuscript denote synthetic records.</w:t>
      </w:r>
    </w:p>
    <w:p>
      <w:pPr>
        <w:pStyle w:val="Heading2"/>
      </w:pPr>
      <w:r>
        <w:t>Data and code availability</w:t>
      </w:r>
    </w:p>
    <w:p>
      <w:pPr>
        <w:pStyle w:val="BodyTextIndent"/>
      </w:pPr>
      <w:r>
        <w:t>All code, generator settings, per-fold predictions and result tables are held in the project repository. The evaluation cohort is reproducible bit-for-bit from a single seeded command.</w:t>
      </w:r>
    </w:p>
    <w:tbl>
      <w:tblPr>
        <w:tblW w:w="467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0" w:type="dxa"/>
          <w:left w:w="72" w:type="dxa"/>
          <w:bottom w:w="20" w:type="dxa"/>
          <w:right w:w="72" w:type="dxa"/>
        </w:tblCellMar>
        <w:tblLook w:val="0000"/>
      </w:tblPr>
      <w:tblGrid>
        <w:gridCol w:w="4910"/>
        <w:gridCol w:w="4910"/>
      </w:tblGrid>
      <w:tr>
        <w:trPr>
          <w:cantSplit/>
          <w:tblHeader/>
        </w:trPr>
        <w:tc>
          <w:tcPr>
            <w:tcW w:type="dxa" w:w="1414"/>
          </w:tcPr>
          <w:p>
            <w:pPr>
              <w:pStyle w:val="TableHead"/>
            </w:pPr>
            <w:r/>
            <w:r>
              <w:rPr>
                <w:sz w:val="16"/>
              </w:rPr>
              <w:t>Artifact</w:t>
            </w:r>
          </w:p>
        </w:tc>
        <w:tc>
          <w:tcPr>
            <w:tcW w:type="dxa" w:w="3265"/>
          </w:tcPr>
          <w:p>
            <w:pPr>
              <w:pStyle w:val="TableHead"/>
            </w:pPr>
            <w:r/>
            <w:r>
              <w:rPr>
                <w:sz w:val="16"/>
              </w:rPr>
              <w:t>Path</w:t>
            </w:r>
          </w:p>
        </w:tc>
      </w:tr>
      <w:tr>
        <w:trPr>
          <w:cantSplit/>
        </w:trPr>
        <w:tc>
          <w:tcPr>
            <w:tcW w:type="dxa" w:w="1414"/>
          </w:tcPr>
          <w:p>
            <w:pPr>
              <w:pStyle w:val="Tabletext"/>
            </w:pPr>
            <w:r/>
            <w:r>
              <w:rPr>
                <w:sz w:val="16"/>
              </w:rPr>
              <w:t>Feature construction (5 families, 43 features)</w:t>
            </w:r>
          </w:p>
        </w:tc>
        <w:tc>
          <w:tcPr>
            <w:tcW w:type="dxa" w:w="3265"/>
          </w:tcPr>
          <w:p>
            <w:pPr>
              <w:pStyle w:val="Tabletext"/>
            </w:pPr>
            <w:r/>
            <w:r>
              <w:rPr>
                <w:rFonts w:ascii="Consolas" w:hAnsi="Consolas"/>
                <w:sz w:val="14"/>
              </w:rPr>
              <w:t>results/xmodal_study_2026-07-22/xmodal_features.py</w:t>
            </w:r>
          </w:p>
        </w:tc>
      </w:tr>
      <w:tr>
        <w:trPr>
          <w:cantSplit/>
        </w:trPr>
        <w:tc>
          <w:tcPr>
            <w:tcW w:type="dxa" w:w="1414"/>
          </w:tcPr>
          <w:p>
            <w:pPr>
              <w:pStyle w:val="Tabletext"/>
            </w:pPr>
            <w:r/>
            <w:r>
              <w:rPr>
                <w:sz w:val="16"/>
              </w:rPr>
              <w:t>Gated hybrid on stronger experts</w:t>
            </w:r>
          </w:p>
        </w:tc>
        <w:tc>
          <w:tcPr>
            <w:tcW w:type="dxa" w:w="3265"/>
          </w:tcPr>
          <w:p>
            <w:pPr>
              <w:pStyle w:val="Tabletext"/>
            </w:pPr>
            <w:r/>
            <w:r>
              <w:rPr>
                <w:rFonts w:ascii="Consolas" w:hAnsi="Consolas"/>
                <w:sz w:val="14"/>
              </w:rPr>
              <w:t>results/xmodal_study_2026-07-22/hybrid_better_experts.py</w:t>
            </w:r>
          </w:p>
        </w:tc>
      </w:tr>
      <w:tr>
        <w:trPr>
          <w:cantSplit/>
        </w:trPr>
        <w:tc>
          <w:tcPr>
            <w:tcW w:type="dxa" w:w="1414"/>
          </w:tcPr>
          <w:p>
            <w:pPr>
              <w:pStyle w:val="Tabletext"/>
            </w:pPr>
            <w:r/>
            <w:r>
              <w:rPr>
                <w:sz w:val="16"/>
              </w:rPr>
              <w:t>Encoder B ablation</w:t>
            </w:r>
          </w:p>
        </w:tc>
        <w:tc>
          <w:tcPr>
            <w:tcW w:type="dxa" w:w="3265"/>
          </w:tcPr>
          <w:p>
            <w:pPr>
              <w:pStyle w:val="Tabletext"/>
            </w:pPr>
            <w:r/>
            <w:r>
              <w:rPr>
                <w:rFonts w:ascii="Consolas" w:hAnsi="Consolas"/>
                <w:sz w:val="14"/>
              </w:rPr>
              <w:t>results/xmodal_study_2026-07-22/encoder_b_lightattention.py</w:t>
            </w:r>
          </w:p>
        </w:tc>
      </w:tr>
      <w:tr>
        <w:trPr>
          <w:cantSplit/>
        </w:trPr>
        <w:tc>
          <w:tcPr>
            <w:tcW w:type="dxa" w:w="1414"/>
          </w:tcPr>
          <w:p>
            <w:pPr>
              <w:pStyle w:val="Tabletext"/>
            </w:pPr>
            <w:r/>
            <w:r>
              <w:rPr>
                <w:sz w:val="16"/>
              </w:rPr>
              <w:t>Phase 3 + 4 clinical evaluation</w:t>
            </w:r>
          </w:p>
        </w:tc>
        <w:tc>
          <w:tcPr>
            <w:tcW w:type="dxa" w:w="3265"/>
          </w:tcPr>
          <w:p>
            <w:pPr>
              <w:pStyle w:val="Tabletext"/>
            </w:pPr>
            <w:r/>
            <w:r>
              <w:rPr>
                <w:rFonts w:ascii="Consolas" w:hAnsi="Consolas"/>
                <w:sz w:val="14"/>
              </w:rPr>
              <w:t>results/xmodal_study_2026-07-22/clinical_evaluation.py</w:t>
            </w:r>
          </w:p>
        </w:tc>
      </w:tr>
      <w:tr>
        <w:trPr>
          <w:cantSplit/>
        </w:trPr>
        <w:tc>
          <w:tcPr>
            <w:tcW w:type="dxa" w:w="1414"/>
          </w:tcPr>
          <w:p>
            <w:pPr>
              <w:pStyle w:val="Tabletext"/>
            </w:pPr>
            <w:r/>
            <w:r>
              <w:rPr>
                <w:sz w:val="16"/>
              </w:rPr>
              <w:t>Figure generation</w:t>
            </w:r>
          </w:p>
        </w:tc>
        <w:tc>
          <w:tcPr>
            <w:tcW w:type="dxa" w:w="3265"/>
          </w:tcPr>
          <w:p>
            <w:pPr>
              <w:pStyle w:val="Tabletext"/>
            </w:pPr>
            <w:r/>
            <w:r>
              <w:rPr>
                <w:rFonts w:ascii="Consolas" w:hAnsi="Consolas"/>
                <w:sz w:val="14"/>
              </w:rPr>
              <w:t>results/xmodal_study_2026-07-22/make_cafe_figures.py</w:t>
            </w:r>
          </w:p>
        </w:tc>
      </w:tr>
      <w:tr>
        <w:trPr>
          <w:cantSplit/>
        </w:trPr>
        <w:tc>
          <w:tcPr>
            <w:tcW w:type="dxa" w:w="1414"/>
          </w:tcPr>
          <w:p>
            <w:pPr>
              <w:pStyle w:val="Tabletext"/>
            </w:pPr>
            <w:r/>
            <w:r>
              <w:rPr>
                <w:sz w:val="16"/>
              </w:rPr>
              <w:t>Per-fold values for every table</w:t>
            </w:r>
          </w:p>
        </w:tc>
        <w:tc>
          <w:tcPr>
            <w:tcW w:type="dxa" w:w="3265"/>
          </w:tcPr>
          <w:p>
            <w:pPr>
              <w:pStyle w:val="Tabletext"/>
            </w:pPr>
            <w:r/>
            <w:r>
              <w:rPr>
                <w:rFonts w:ascii="Consolas" w:hAnsi="Consolas"/>
                <w:sz w:val="14"/>
              </w:rPr>
              <w:t>results/xmodal_study_2026-07-22/*_per_fold.csv</w:t>
            </w:r>
          </w:p>
        </w:tc>
      </w:tr>
      <w:tr>
        <w:trPr>
          <w:cantSplit/>
        </w:trPr>
        <w:tc>
          <w:tcPr>
            <w:tcW w:type="dxa" w:w="1414"/>
          </w:tcPr>
          <w:p>
            <w:pPr>
              <w:pStyle w:val="Tabletext"/>
            </w:pPr>
            <w:r/>
            <w:r>
              <w:rPr>
                <w:sz w:val="16"/>
              </w:rPr>
              <w:t>Decision-rule verdicts</w:t>
            </w:r>
          </w:p>
        </w:tc>
        <w:tc>
          <w:tcPr>
            <w:tcW w:type="dxa" w:w="3265"/>
          </w:tcPr>
          <w:p>
            <w:pPr>
              <w:pStyle w:val="Tabletext"/>
            </w:pPr>
            <w:r/>
            <w:r>
              <w:rPr>
                <w:rFonts w:ascii="Consolas" w:hAnsi="Consolas"/>
                <w:sz w:val="14"/>
              </w:rPr>
              <w:t>results/xmodal_study_2026-07-22/*_verdicts.csv</w:t>
            </w:r>
          </w:p>
        </w:tc>
      </w:tr>
      <w:tr>
        <w:trPr>
          <w:cantSplit/>
        </w:trPr>
        <w:tc>
          <w:tcPr>
            <w:tcW w:type="dxa" w:w="1414"/>
          </w:tcPr>
          <w:p>
            <w:pPr>
              <w:pStyle w:val="Tabletext"/>
            </w:pPr>
            <w:r/>
            <w:r>
              <w:rPr>
                <w:sz w:val="16"/>
              </w:rPr>
              <w:t>Worked case examples</w:t>
            </w:r>
          </w:p>
        </w:tc>
        <w:tc>
          <w:tcPr>
            <w:tcW w:type="dxa" w:w="3265"/>
          </w:tcPr>
          <w:p>
            <w:pPr>
              <w:pStyle w:val="Tabletext"/>
            </w:pPr>
            <w:r/>
            <w:r>
              <w:rPr>
                <w:rFonts w:ascii="Consolas" w:hAnsi="Consolas"/>
                <w:sz w:val="14"/>
              </w:rPr>
              <w:t>results/xmodal_study_2026-07-22/case_examples.csv</w:t>
            </w:r>
          </w:p>
        </w:tc>
      </w:tr>
      <w:tr>
        <w:trPr>
          <w:cantSplit/>
        </w:trPr>
        <w:tc>
          <w:tcPr>
            <w:tcW w:type="dxa" w:w="1414"/>
          </w:tcPr>
          <w:p>
            <w:pPr>
              <w:pStyle w:val="Tabletext"/>
            </w:pPr>
            <w:r/>
            <w:r>
              <w:rPr>
                <w:sz w:val="16"/>
              </w:rPr>
              <w:t>Input-parity check</w:t>
            </w:r>
          </w:p>
        </w:tc>
        <w:tc>
          <w:tcPr>
            <w:tcW w:type="dxa" w:w="3265"/>
          </w:tcPr>
          <w:p>
            <w:pPr>
              <w:pStyle w:val="Tabletext"/>
            </w:pPr>
            <w:r/>
            <w:r>
              <w:rPr>
                <w:rFonts w:ascii="Consolas" w:hAnsi="Consolas"/>
                <w:sz w:val="14"/>
              </w:rPr>
              <w:t>scripts/check_input_parity.py</w:t>
            </w:r>
          </w:p>
        </w:tc>
      </w:tr>
      <w:tr>
        <w:trPr>
          <w:cantSplit/>
        </w:trPr>
        <w:tc>
          <w:tcPr>
            <w:tcW w:type="dxa" w:w="1414"/>
          </w:tcPr>
          <w:p>
            <w:pPr>
              <w:pStyle w:val="Tabletext"/>
            </w:pPr>
            <w:r/>
            <w:r>
              <w:rPr>
                <w:sz w:val="16"/>
              </w:rPr>
              <w:t>Numerical verification of this manuscript</w:t>
            </w:r>
          </w:p>
        </w:tc>
        <w:tc>
          <w:tcPr>
            <w:tcW w:type="dxa" w:w="3265"/>
          </w:tcPr>
          <w:p>
            <w:pPr>
              <w:pStyle w:val="Tabletext"/>
            </w:pPr>
            <w:r/>
            <w:r>
              <w:rPr>
                <w:rFonts w:ascii="Consolas" w:hAnsi="Consolas"/>
                <w:sz w:val="14"/>
              </w:rPr>
              <w:t>results/xmodal_study_2026-07-22/verify_cafe_manuscript.py</w:t>
            </w:r>
          </w:p>
        </w:tc>
      </w:tr>
    </w:tbl>
    <w:p>
      <w:pPr/>
    </w:p>
    <w:p>
      <w:pPr>
        <w:pStyle w:val="Heading2"/>
      </w:pPr>
      <w:r>
        <w:t>Reporting statement</w:t>
      </w:r>
    </w:p>
    <w:p>
      <w:pPr>
        <w:pStyle w:val="BodyTextIndent"/>
      </w:pPr>
      <w:r>
        <w:t>This manuscript reports every configuration evaluated, including those that favoured the proposed system before correction and those that did not. No configuration was excluded after the fact.</w:t>
      </w:r>
    </w:p>
    <w:p>
      <w:pPr>
        <w:pStyle w:val="BodyTextIndent"/>
      </w:pPr>
      <w:r>
        <w:t>Two implementation faults that would have produced misleading results are reported in the text rather than silently corrected: the unnormalised expert-logit scale that caused the gate to place 0.697 of its mass on the weakest expert (§3.4.3), and the concatenated-standard-deviation term in the decision rule that returns TIE for a non-overlapping difference (§4.4.1). In the latter case we report the rule's literal verdict first, then the corrected one, and verify that no previously published verdict is affected.</w:t>
      </w:r>
    </w:p>
    <w:p>
      <w:pPr>
        <w:pStyle w:val="BodyTextIndent"/>
      </w:pPr>
      <w:r>
        <w:t>The proposed system's headline number, AUROC 0.852, falls inside the 0.840–0.855 band that was predicted for it before the experiments were run. We report that the prediction was accurate and that the mechanism proposed to explain it was not.</w:t>
      </w:r>
    </w:p>
    <w:p>
      <w:pPr>
        <w:pStyle w:val="BodyTextIndent"/>
      </w:pPr>
      <w:r>
        <w:t>The data are synthetic throughout. The channel strengths in the generator are specified rather than estimated, and no parameter of this cohort should be cited as a clinical quantity.</w:t>
      </w:r>
    </w:p>
    <w:p>
      <w:pPr>
        <w:pStyle w:val="Heading2"/>
      </w:pPr>
      <w:r>
        <w:t>Author contributions</w:t>
      </w:r>
    </w:p>
    <w:p>
      <w:pPr>
        <w:pStyle w:val="BodyTextIndent"/>
      </w:pPr>
      <w:r>
        <w:rPr>
          <w:b/>
        </w:rPr>
        <w:t>A. V. M. Kumaran:</w:t>
      </w:r>
      <w:r>
        <w:t xml:space="preserve"> conceptualisation, methodology, software, formal analysis, investigation, data curation, visualisation, writing — original draft. </w:t>
      </w:r>
      <w:r>
        <w:rPr>
          <w:b/>
        </w:rPr>
        <w:t>M. Sundara Rajan:</w:t>
      </w:r>
      <w:r>
        <w:t xml:space="preserve"> conceptualisation, methodology, validation, supervision, writing — review and editing. Both authors read and approved the final manuscript.</w:t>
      </w:r>
    </w:p>
    <w:p>
      <w:pPr>
        <w:pStyle w:val="Heading2"/>
      </w:pPr>
      <w:r>
        <w:t>Funding</w:t>
      </w:r>
    </w:p>
    <w:p>
      <w:pPr>
        <w:pStyle w:val="BodyTextIndent"/>
      </w:pPr>
      <w:r>
        <w:t>This research received no specific grant from any funding agency in the public, commercial, or not-for-profit sectors.</w:t>
      </w:r>
    </w:p>
    <w:p>
      <w:pPr>
        <w:pStyle w:val="Heading2"/>
      </w:pPr>
      <w:r>
        <w:t>Competing interests</w:t>
      </w:r>
    </w:p>
    <w:p>
      <w:pPr>
        <w:pStyle w:val="BodyTextIndent"/>
      </w:pPr>
      <w:r>
        <w:t>The authors declare that they have no competing interests.</w:t>
      </w:r>
    </w:p>
    <w:p>
      <w:pPr>
        <w:pStyle w:val="Heading2"/>
      </w:pPr>
      <w:r>
        <w:t>Acknowledgements</w:t>
      </w:r>
    </w:p>
    <w:p>
      <w:pPr>
        <w:pStyle w:val="BodyTextIndent"/>
      </w:pPr>
      <w:r>
        <w:t>We thank the reviewer of our earlier negative-result manuscript, whose specific architectural proposal — engineered clinical features, view-specific experts, and a per-patient gate — defined the system evaluated here and motivated the ablation that followed.</w:t>
      </w:r>
    </w:p>
    <w:p>
      <w:pPr>
        <w:pStyle w:val="Heading1"/>
      </w:pPr>
      <w:r>
        <w:t>References</w:t>
      </w:r>
    </w:p>
    <w:p>
      <w:pPr>
        <w:pStyle w:val="Heading3"/>
        <w:spacing w:after="120"/>
      </w:pPr>
      <w:r>
        <w:t xml:space="preserve">[1] Shwartz-Ziv, R., &amp; Armon, A. (2022). Tabular data: Deep learning is not all you need. </w:t>
      </w:r>
      <w:r>
        <w:rPr>
          <w:i/>
        </w:rPr>
        <w:t>Information Fusion</w:t>
      </w:r>
      <w:r>
        <w:t>, 81, 84–90. https://doi.org/10.1016/j.inffus.2021.11.011</w:t>
      </w:r>
    </w:p>
    <w:p>
      <w:pPr>
        <w:pStyle w:val="Heading3"/>
        <w:spacing w:after="120"/>
      </w:pPr>
      <w:r>
        <w:t xml:space="preserve">[2] Grinsztajn, L., Oyallon, E., &amp; Varoquaux, G. (2022). Why do tree-based models still outperform deep learning on typical tabular data? </w:t>
      </w:r>
      <w:r>
        <w:rPr>
          <w:i/>
        </w:rPr>
        <w:t>Advances in Neural Information Processing Systems 35 (NeurIPS 2022), Datasets and Benchmarks Track.</w:t>
      </w:r>
    </w:p>
    <w:p>
      <w:pPr>
        <w:pStyle w:val="Heading3"/>
        <w:spacing w:after="120"/>
      </w:pPr>
      <w:r>
        <w:t xml:space="preserve">[3] Jacobs, R. A., Jordan, M. I., Nowlan, S. J., &amp; Hinton, G. E. (1991). Adaptive mixtures of local experts. </w:t>
      </w:r>
      <w:r>
        <w:rPr>
          <w:i/>
        </w:rPr>
        <w:t>Neural Computation</w:t>
      </w:r>
      <w:r>
        <w:t>, 3(1), 79–87.</w:t>
      </w:r>
    </w:p>
    <w:p>
      <w:pPr>
        <w:pStyle w:val="Heading3"/>
        <w:spacing w:after="120"/>
      </w:pPr>
      <w:r>
        <w:t xml:space="preserve">[4] Shazeer, N., Mirhoseini, A., Maziarz, K., Davis, A., Le, Q., Hinton, G., &amp; Dean, J. (2017). Outrageously large neural networks: The sparsely-gated mixture-of-experts layer. </w:t>
      </w:r>
      <w:r>
        <w:rPr>
          <w:i/>
        </w:rPr>
        <w:t>International Conference on Learning Representations (ICLR 2017).</w:t>
      </w:r>
    </w:p>
    <w:p>
      <w:pPr>
        <w:pStyle w:val="Heading3"/>
        <w:spacing w:after="120"/>
      </w:pPr>
      <w:r>
        <w:t xml:space="preserve">[5] Van Calster, B., McLernon, D. J., van Smeden, M., Wynants, L., &amp; Steyerberg, E. W. (2019). Calibration: the Achilles heel of predictive analytics. </w:t>
      </w:r>
      <w:r>
        <w:rPr>
          <w:i/>
        </w:rPr>
        <w:t>BMC Medicine</w:t>
      </w:r>
      <w:r>
        <w:t>, 17, 230.</w:t>
      </w:r>
    </w:p>
    <w:p>
      <w:pPr>
        <w:pStyle w:val="Heading3"/>
        <w:spacing w:after="120"/>
      </w:pPr>
      <w:r>
        <w:t xml:space="preserve">[6] Vickers, A. J., &amp; Elkin, E. B. (2006). Decision curve analysis: a novel method for evaluating prediction models. </w:t>
      </w:r>
      <w:r>
        <w:rPr>
          <w:i/>
        </w:rPr>
        <w:t>Medical Decision Making</w:t>
      </w:r>
      <w:r>
        <w:t>, 26(6), 565–574.</w:t>
      </w:r>
    </w:p>
    <w:p>
      <w:pPr>
        <w:pStyle w:val="Heading3"/>
        <w:spacing w:after="120"/>
      </w:pPr>
      <w:r>
        <w:t xml:space="preserve">[7] Liu, L., Zang, Y., Zheng, H., Li, S., Song, Y., Feng, X., Zhang, X., Li, Y., Cao, L., Zhou, G., Dong, T., Huang, Q., Pan, T., Deng, J., &amp; Cheng, D. (2025). An AI method to predict pregnancy loss by extracting biological indicators from embryo ultrasound recordings in early pregnancy. </w:t>
      </w:r>
      <w:r>
        <w:rPr>
          <w:i/>
        </w:rPr>
        <w:t>Scientific Reports</w:t>
      </w:r>
      <w:r>
        <w:t>, 15, 25946. https://doi.org/10.1038/s41598-025-11518-5</w:t>
      </w:r>
    </w:p>
    <w:p>
      <w:pPr>
        <w:pStyle w:val="Heading3"/>
        <w:spacing w:after="120"/>
      </w:pPr>
      <w:r>
        <w:t xml:space="preserve">[8] Lundberg, S. M., &amp; Lee, S.-I. (2017). A unified approach to interpreting model predictions. </w:t>
      </w:r>
      <w:r>
        <w:rPr>
          <w:i/>
        </w:rPr>
        <w:t>Advances in Neural Information Processing Systems 30 (NeurIPS 2017).</w:t>
      </w:r>
    </w:p>
    <w:p>
      <w:pPr>
        <w:pStyle w:val="Heading3"/>
        <w:spacing w:after="120"/>
      </w:pPr>
      <w:r>
        <w:t xml:space="preserve">[9] Lundberg, S. M., Erion, G., Chen, H., DeGrave, A., Prutkin, J. M., Nair, B., Katz, R., Himmelfarb, J., Bansal, N., &amp; Lee, S.-I. (2020). From local explanations to global understanding with explainable AI for trees. </w:t>
      </w:r>
      <w:r>
        <w:rPr>
          <w:i/>
        </w:rPr>
        <w:t>Nature Machine Intelligence</w:t>
      </w:r>
      <w:r>
        <w:t>, 2, 56–67.</w:t>
      </w:r>
    </w:p>
    <w:p>
      <w:pPr>
        <w:pStyle w:val="Heading3"/>
        <w:spacing w:after="120"/>
      </w:pPr>
      <w:r>
        <w:t xml:space="preserve">[10] Chen, T., &amp; Guestrin, C. (2016). XGBoost: A scalable tree boosting system. </w:t>
      </w:r>
      <w:r>
        <w:rPr>
          <w:i/>
        </w:rPr>
        <w:t>Proceedings of the 22nd ACM SIGKDD International Conference on Knowledge Discovery and Data Mining</w:t>
      </w:r>
      <w:r>
        <w:t>, 785–794.</w:t>
      </w:r>
    </w:p>
    <w:p>
      <w:pPr>
        <w:pStyle w:val="Heading3"/>
        <w:spacing w:after="120"/>
      </w:pPr>
      <w:r>
        <w:t xml:space="preserve">[11] Prokhorenkova, L., Gusev, G., Vorobev, A., Dorogush, A. V., &amp; Gulin, A. (2018). CatBoost: unbiased boosting with categorical features. </w:t>
      </w:r>
      <w:r>
        <w:rPr>
          <w:i/>
        </w:rPr>
        <w:t>Advances in Neural Information Processing Systems 31 (NeurIPS 2018).</w:t>
      </w:r>
    </w:p>
    <w:p>
      <w:pPr>
        <w:pStyle w:val="Heading3"/>
        <w:spacing w:after="120"/>
      </w:pPr>
      <w:r>
        <w:t xml:space="preserve">[12] Steyerberg, E. W., Vickers, A. J., Cook, N. R., Gerds, T., Gonen, M., Obuchowski, N., Pencina, M. J., &amp; Kattan, M. W. (2010). Assessing the performance of prediction models: a framework for traditional and novel measures. </w:t>
      </w:r>
      <w:r>
        <w:rPr>
          <w:i/>
        </w:rPr>
        <w:t>Epidemiology</w:t>
      </w:r>
      <w:r>
        <w:t>, 21(1), 128–138.</w:t>
      </w: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hor" w:initials="A">
    <w:p w14:paraId="3DCA262C" w14:textId="77777777" w:rsidR="00080B05" w:rsidRDefault="002B376B" w:rsidP="00080B05">
      <w:pPr>
        <w:pStyle w:val="CommentText"/>
      </w:pPr>
      <w:r>
        <w:rPr>
          <w:rStyle w:val="CommentReference"/>
        </w:rPr>
        <w:annotationRef/>
      </w:r>
      <w:r>
        <w:rPr>
          <w:rStyle w:val="CommentReference"/>
        </w:rPr>
        <w:annotationRef/>
      </w:r>
      <w:r>
        <w:rPr>
          <w:rStyle w:val="CommentReference"/>
        </w:rPr>
        <w:annotationRef/>
      </w:r>
      <w:r w:rsidR="00080B05" w:rsidRPr="001772D8">
        <w:rPr>
          <w:b/>
        </w:rPr>
        <w:t>Do not complete the Author name section until you submit the final camera-ready copy.</w:t>
      </w:r>
      <w:r w:rsidR="00080B05">
        <w:t xml:space="preserve"> </w:t>
      </w:r>
    </w:p>
    <w:p w14:paraId="0F2728E6" w14:textId="77777777" w:rsidR="00080B05" w:rsidRDefault="00080B05" w:rsidP="00080B05">
      <w:pPr>
        <w:pStyle w:val="CommentText"/>
      </w:pPr>
    </w:p>
    <w:p w14:paraId="6C58BAE5" w14:textId="77777777" w:rsidR="00080B05" w:rsidRPr="00946EDA" w:rsidRDefault="00080B05" w:rsidP="00080B05">
      <w:pPr>
        <w:pStyle w:val="Heading1"/>
        <w:spacing w:before="0"/>
        <w:rPr>
          <w:b/>
          <w:smallCaps w:val="0"/>
        </w:rPr>
      </w:pPr>
      <w:r>
        <w:rPr>
          <w:rStyle w:val="CommentReference"/>
          <w:b/>
          <w:smallCaps w:val="0"/>
        </w:rPr>
        <w:t>Important notice about copyright:</w:t>
      </w:r>
    </w:p>
    <w:p w14:paraId="2306DE00" w14:textId="77777777" w:rsidR="00080B05" w:rsidRPr="00235DE9" w:rsidRDefault="00080B05" w:rsidP="00080B05">
      <w:pPr>
        <w:pStyle w:val="BodyTextIndent"/>
        <w:rPr>
          <w:iCs/>
        </w:rPr>
      </w:pPr>
      <w:r w:rsidRPr="00235DE9">
        <w:t xml:space="preserve">During the final paper submission process, you must complete the electronic copyright form. Your paper cannot be published in the Proceedings if you do not complete this step. </w:t>
      </w:r>
    </w:p>
    <w:p w14:paraId="597F74C0" w14:textId="77777777" w:rsidR="00080B05" w:rsidRDefault="00080B05" w:rsidP="00080B05">
      <w:pPr>
        <w:pStyle w:val="BodyTextIndent"/>
        <w:rPr>
          <w:iCs/>
        </w:rPr>
      </w:pPr>
    </w:p>
    <w:p w14:paraId="09AEBFEC" w14:textId="77777777" w:rsidR="00080B05" w:rsidRDefault="00080B05" w:rsidP="00080B05">
      <w:pPr>
        <w:pStyle w:val="BodyTextIndent"/>
      </w:pPr>
      <w:r>
        <w:t xml:space="preserve">There are specific copyright notices for Government agencies. Please contact the Proceedings Co-chairs for the correct statement to include in your paper. </w:t>
      </w:r>
    </w:p>
    <w:p w14:paraId="10056FDE" w14:textId="77777777" w:rsidR="00080B05" w:rsidRDefault="00080B05" w:rsidP="00080B05">
      <w:pPr>
        <w:pStyle w:val="BodyTextIndent"/>
      </w:pPr>
    </w:p>
    <w:p w14:paraId="756CD972" w14:textId="3BA154CA" w:rsidR="002B376B" w:rsidRDefault="00080B05" w:rsidP="00080B05">
      <w:pPr>
        <w:pStyle w:val="CommentText"/>
      </w:pPr>
      <w:r w:rsidRPr="00946EDA">
        <w:rPr>
          <w:b/>
        </w:rPr>
        <w:t>Delete this comment before submitting your paper for the first review.</w:t>
      </w:r>
    </w:p>
  </w:comment>
  <w:comment w:id="4" w:author="Author" w:initials="A">
    <w:p w14:paraId="507178EC" w14:textId="1B9C9F46" w:rsidR="004922BE" w:rsidRDefault="004922BE">
      <w:pPr>
        <w:pStyle w:val="CommentText"/>
      </w:pPr>
      <w:r>
        <w:rPr>
          <w:rStyle w:val="CommentReference"/>
        </w:rPr>
        <w:annotationRef/>
      </w:r>
      <w:r>
        <w:t>All figures except author photo(s) should be inserted into an otherwise blank paragraph using the Insert —&gt; Photo —&gt; Picture from File command.</w:t>
      </w:r>
    </w:p>
  </w:comment>
  <w:comment w:id="6" w:author="Author" w:initials="A">
    <w:p w14:paraId="79A3331F" w14:textId="77777777" w:rsidR="00B03685" w:rsidRDefault="00A2564A" w:rsidP="009172CE">
      <w:pPr>
        <w:pStyle w:val="CommentText"/>
      </w:pPr>
      <w:r>
        <w:rPr>
          <w:rStyle w:val="CommentReference"/>
        </w:rPr>
        <w:annotationRef/>
      </w:r>
      <w:r w:rsidR="00B03685">
        <w:t xml:space="preserve">Delete the About the Authors section and this comment before submitting your paper for the first review of your full submission. </w:t>
      </w:r>
      <w:r w:rsidR="00B03685">
        <w:rPr>
          <w:b/>
          <w:bCs/>
        </w:rPr>
        <w:t>You will need to include this section in your final camera-ready copy, but do not include it before that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6CD972" w15:done="0"/>
  <w15:commentEx w15:paraId="507178EC" w15:done="0"/>
  <w15:commentEx w15:paraId="79A333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6CD972" w16cid:durableId="25AB4F5D"/>
  <w16cid:commentId w16cid:paraId="507178EC" w16cid:durableId="25AB4F5E"/>
  <w16cid:commentId w16cid:paraId="79A3331F" w16cid:durableId="25AB4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2023-02-08T15:42:00Z</dcterms:created>
  <dcterms:modified xsi:type="dcterms:W3CDTF">2024-03-25T21:28:00Z</dcterms:modified>
  <cp:category/>
</cp:coreProperties>
</file>