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color w:val="1F3B63"/>
          <w:sz w:val="34"/>
        </w:rPr>
        <w:t>CAFE — Tables and Figures for Insertion</w:t>
      </w:r>
    </w:p>
    <w:p>
      <w:pPr>
        <w:jc w:val="both"/>
      </w:pPr>
      <w:r>
        <w:t xml:space="preserve">Companion to </w:t>
      </w:r>
      <w:r>
        <w:rPr>
          <w:rFonts w:ascii="Consolas" w:hAnsi="Consolas"/>
          <w:sz w:val="19"/>
        </w:rPr>
        <w:t>CAFE_Hybrid_Manuscript.md</w:t>
      </w:r>
      <w:r>
        <w:t xml:space="preserve">. Every table below is numbered to match a </w:t>
      </w:r>
      <w:r>
        <w:rPr>
          <w:rFonts w:ascii="Consolas" w:hAnsi="Consolas"/>
          <w:sz w:val="19"/>
        </w:rPr>
        <w:t>[TABLE n HERE]</w:t>
      </w:r>
      <w:r>
        <w:t xml:space="preserve"> placeholder in the manuscript, and every figure entry matches a </w:t>
      </w:r>
      <w:r>
        <w:rPr>
          <w:rFonts w:ascii="Consolas" w:hAnsi="Consolas"/>
          <w:sz w:val="19"/>
        </w:rPr>
        <w:t>[FIGURE n HERE]</w:t>
      </w:r>
      <w:r>
        <w:t xml:space="preserve"> placeholder. Insert in order; captions are reproduced here so the caption travels with the artifact.</w:t>
      </w:r>
    </w:p>
    <w:p>
      <w:pPr>
        <w:jc w:val="both"/>
      </w:pPr>
      <w:r>
        <w:t xml:space="preserve">All values are checked against their source CSVs by </w:t>
      </w:r>
      <w:r>
        <w:rPr>
          <w:rFonts w:ascii="Consolas" w:hAnsi="Consolas"/>
          <w:sz w:val="19"/>
        </w:rPr>
        <w:t>results/xmodal_study_2026-07-22/verify_cafe_manuscript.py</w:t>
      </w:r>
      <w:r>
        <w:t>, which fails on any drift.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1 — The five feature families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1.</w:t>
      </w:r>
      <w:r>
        <w:t xml:space="preserve"> The five feature families: the clinical question each encodes, its construction, and the number of features contributed.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Family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Clinical question it encodes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Construction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Gestational normalisation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Is this value normal </w:t>
            </w:r>
            <w:r>
              <w:rPr>
                <w:i/>
                <w:sz w:val="19"/>
              </w:rPr>
              <w:t>for this week</w:t>
            </w:r>
            <w:r>
              <w:rPr>
                <w:sz w:val="19"/>
              </w:rPr>
              <w:t>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z-score of each measurement within its rounded GA-week bin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basis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Temporal trajectory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Where is the marker now, on average, and at its worst?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per-patient last / mean / min of each z-trajectory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Growth velocity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Is the marker moving in the right direction, fast enough?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per-patient OLS slope of each z-trajectory against GA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Discordance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Do the markers </w:t>
            </w:r>
            <w:r>
              <w:rPr>
                <w:i/>
                <w:sz w:val="19"/>
              </w:rPr>
              <w:t>disagree with each other</w:t>
            </w:r>
            <w:r>
              <w:rPr>
                <w:sz w:val="19"/>
              </w:rPr>
              <w:t>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within-patient correlation, level gap and slope gap for (FHR,CRL), (CRL,GS), (FHR,GS), (CRL,YSD); slope-sign disagreement; spread and worst channel across markers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Maternal risk profile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What is the patient's baseline clinical risk?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standardised composite of age, BMI, previous loss, IVF conception, non-singleton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Cross-modal interaction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Does maternal risk </w:t>
            </w:r>
            <w:r>
              <w:rPr>
                <w:i/>
                <w:sz w:val="19"/>
              </w:rPr>
              <w:t>modify</w:t>
            </w:r>
            <w:r>
              <w:rPr>
                <w:sz w:val="19"/>
              </w:rPr>
              <w:t xml:space="preserve"> the sonographic signal?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11 products of maternal terms with sonographic terms (e.g. age × zFHR_last, BMI × zCRL_last, composite × discordance spread)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</w:tr>
    </w:tbl>
    <w:p/>
    <w:p>
      <w:pPr>
        <w:jc w:val="both"/>
      </w:pPr>
      <w:r>
        <w:rPr>
          <w:i/>
        </w:rPr>
        <w:t>Total added: 43 features, over a 23-feature base table, giving a 66-feature union view.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2 — Encoder specifications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2.</w:t>
      </w:r>
      <w:r>
        <w:t xml:space="preserve"> Encoder specifications: the view each encoder consumes, its model class, and its parameter 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Encoder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View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Parameters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Flat tabular base table (23 features)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Gradient-boosted tree (XGBoost or CatBoost)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tree ensemble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Raw scan sequence (2–5 visits × 4 measures + GA)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Temporal attention, </w:t>
            </w:r>
            <w:r>
              <w:rPr>
                <w:rFonts w:ascii="Consolas" w:hAnsi="Consolas"/>
                <w:sz w:val="19"/>
              </w:rPr>
              <w:t>d_model</w:t>
            </w:r>
            <w:r>
              <w:rPr>
                <w:sz w:val="19"/>
              </w:rPr>
              <w:t xml:space="preserve"> 24, 1 layer, 2 heads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12,585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Cross-modal engineered block (43 features)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Gradient-boosted tree (XGBoost or CatBoost)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tree ensemble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Gate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 table (23 features)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MLP 23 → 16 → 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>, softmax over experts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418 (</w:t>
            </w:r>
            <w:r>
              <w:rPr>
                <w:i/>
                <w:sz w:val="19"/>
              </w:rPr>
              <w:t>K</w:t>
            </w:r>
            <w:r>
              <w:rPr>
                <w:sz w:val="19"/>
              </w:rPr>
              <w:t xml:space="preserve"> = 2)</w:t>
            </w:r>
          </w:p>
        </w:tc>
      </w:tr>
    </w:tbl>
    <w:p/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3 — Discrimination, overall error and calibration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3.</w:t>
      </w:r>
      <w:r>
        <w:t xml:space="preserve"> Discrimination, overall error and calibration, 5×2 repeated CV, mean over 10 folds. All arms receive the identical 66-feature union view. CAFE denotes the gated two-expert configuration (Encoders A and C); the suffix indicates the boosting component from which both experts are built. Best value in each column shown in bold.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Arm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AUROC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AUPRC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Brier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Cal. slope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Cal. intercept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ECE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CAFE (CatBoost experts)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0.852 ± 0.022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0.686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0.1048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0.946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+0.039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0.0296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CatBoost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0.851 ± 0.023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0.692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0.1042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0.923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+0.095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0.0370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0.837 ± 0.019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0.643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0.1122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0.912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−0.093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0.0376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CAFE (XGBoost experts)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0.833 ± 0.022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0.659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0.1165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0.480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−0.148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0.0820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XGBoost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0.830 ± 0.027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0.653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0.1197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0.430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−0.170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0.0932</w:t>
            </w:r>
          </w:p>
        </w:tc>
      </w:tr>
    </w:tbl>
    <w:p/>
    <w:p>
      <w:pPr>
        <w:jc w:val="both"/>
      </w:pPr>
      <w:r>
        <w:t xml:space="preserve">*CAFE vs. CatBoost: Δ AUROC = +0.0008, sign 6/10 → </w:t>
      </w:r>
      <w:r>
        <w:rPr>
          <w:b/>
        </w:rPr>
        <w:t>TIE</w:t>
      </w:r>
      <w:r>
        <w:t xml:space="preserve"> under the decision rule (§3.7).*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clinical_per_fold.csv</w:t>
      </w:r>
      <w:r>
        <w:t xml:space="preserve"> → </w:t>
      </w:r>
      <w:r>
        <w:rPr>
          <w:rFonts w:ascii="Consolas" w:hAnsi="Consolas"/>
          <w:sz w:val="19"/>
        </w:rPr>
        <w:t>clinical_summary.csv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4 — Contribution of the engineered feature block, by learner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4.</w:t>
      </w:r>
      <w:r>
        <w:t xml:space="preserve"> Contribution of the engineered feature block, by learner: base table versus union view, with the fold-wise sign agreement and decision-rule verdict.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Learner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Base (23 feats)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+ engineered (66 feats)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Δ AUROC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Sign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0.822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0.837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+0.015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10/10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HistGradientBoosting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0.837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+0.005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7/10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CatBoost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0.850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0.851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+0.002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7/10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XGBoost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+0.000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</w:tbl>
    <w:p/>
    <w:p>
      <w:pPr>
        <w:jc w:val="both"/>
      </w:pPr>
      <w:r>
        <w:rPr>
          <w:i/>
        </w:rPr>
        <w:t>The ordering is the finding: benefit is monotonically inversely proportional to the learner's native capacity to represent interactions.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xmodal_per_fold.csv</w:t>
      </w:r>
      <w:r>
        <w:t xml:space="preserve">, </w:t>
      </w:r>
      <w:r>
        <w:rPr>
          <w:rFonts w:ascii="Consolas" w:hAnsi="Consolas"/>
          <w:sz w:val="19"/>
        </w:rPr>
        <w:t>xmodal_verdicts.csv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5 — Encoder B ablation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5.</w:t>
      </w:r>
      <w:r>
        <w:t xml:space="preserve"> Encoder B ablation. Encoder B is the temporal-attention model at 12,585 parameters; all arms use the standardised-logit gate of §3.4.3.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AUROC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AUPRC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Δ vs. no Encoder B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Sign</w:t>
            </w:r>
          </w:p>
        </w:tc>
        <w:tc>
          <w:tcPr>
            <w:tcW w:type="dxa" w:w="156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A + C (CatBoost)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0.850 ± 0.021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0.684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A + B + C (CatBoost)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0.845 ± 0.022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0.680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−0.005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8/10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A + C (XGBoost)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0.832 ± 0.024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0.662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A + B + C (XGBoost)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0.829 ± 0.022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0.660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−0.003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6/10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tie</w:t>
            </w:r>
          </w:p>
        </w:tc>
      </w:tr>
      <w:tr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Encoder B alone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0.813 ± 0.027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0.616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jc w:val="both"/>
      </w:pPr>
      <w:r>
        <w:rPr>
          <w:i/>
        </w:rPr>
        <w:t>Mean gate weight assigned to Encoder B: 0.195, against an equal share of 0.333.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encoder_b_per_fold.csv</w:t>
      </w:r>
      <w:r>
        <w:t xml:space="preserve">, </w:t>
      </w:r>
      <w:r>
        <w:rPr>
          <w:rFonts w:ascii="Consolas" w:hAnsi="Consolas"/>
          <w:sz w:val="19"/>
        </w:rPr>
        <w:t>encoder_b_verdicts.csv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6 — Net benefit at representative risk thresholds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6.</w:t>
      </w:r>
      <w:r>
        <w:t xml:space="preserve"> Net benefit at representative risk thresholds, pooled out-of-fold (repeat 2), against the treat-all and treat-none default strategies.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Treat all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Treat none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CAFE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CatBoost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LogReg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CAFE-XGB</w:t>
            </w:r>
          </w:p>
        </w:tc>
        <w:tc>
          <w:tcPr>
            <w:tcW w:type="dxa" w:w="117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XGBoost</w:t>
            </w:r>
          </w:p>
        </w:tc>
      </w:tr>
      <w:tr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0.1148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0.1431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0.1412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0.1396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0.1259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0.1254</w:t>
            </w:r>
          </w:p>
        </w:tc>
      </w:tr>
      <w:tr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0.0042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0.1138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0.1138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0.1042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0.1020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0.1027</w:t>
            </w:r>
          </w:p>
        </w:tc>
      </w:tr>
      <w:tr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−0.1381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0.0960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0.0940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0.0826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0.0863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0.0844</w:t>
            </w:r>
          </w:p>
        </w:tc>
      </w:tr>
      <w:tr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−0.3278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0.0794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0.0783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0.0693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0.0699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0.0697</w:t>
            </w:r>
          </w:p>
        </w:tc>
      </w:tr>
      <w:tr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0.50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−0.5933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0.0670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0.0687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0.0533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0.0610</w:t>
            </w:r>
          </w:p>
        </w:tc>
        <w:tc>
          <w:tcPr>
            <w:tcW w:type="dxa" w:w="117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0.0570</w:t>
            </w:r>
          </w:p>
        </w:tc>
      </w:tr>
    </w:tbl>
    <w:p/>
    <w:p>
      <w:pPr>
        <w:jc w:val="both"/>
      </w:pPr>
      <w:r>
        <w:t xml:space="preserve">*Mean net benefit above the better default strategy, thresholds 0.05–0.50: CAFE </w:t>
      </w:r>
      <w:r>
        <w:rPr>
          <w:b/>
        </w:rPr>
        <w:t>+0.0744</w:t>
      </w:r>
      <w:r>
        <w:t>, CatBoost +0.0737, LogReg +0.0648, CAFE-XGB +0.0626, XGBoost +0.0617. Spread between best and worst arm 0.0128; gap from the worst arm to the defaults 0.0617.*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clinical_decision_curve.csv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7 — Performance at a 90 %-sensitivity screening threshold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7.</w:t>
      </w:r>
      <w:r>
        <w:t xml:space="preserve"> Performance at a 90 %-sensitivity screening threshold. The threshold is selected on repeat 1 and scored on repeat 2, so it is never chosen and reported on the same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Arm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Sensitivity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Specificity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PPV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NPV</w:t>
            </w:r>
          </w:p>
        </w:tc>
        <w:tc>
          <w:tcPr>
            <w:tcW w:type="dxa" w:w="1337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Fraction flagged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CAFE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0.074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0.898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0.553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0.339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0.955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0.539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CatBoost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0.060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0.900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0.523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0.325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0.953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0.563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0.081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0.903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0.497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0.314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0.953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0.584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CAFE-XGB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0.008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0.902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0.469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0.303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0.949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0.606</w:t>
            </w:r>
          </w:p>
        </w:tc>
      </w:tr>
      <w:tr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XGBoost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0.004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0.907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0.449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0.296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0.950</w:t>
            </w:r>
          </w:p>
        </w:tc>
        <w:tc>
          <w:tcPr>
            <w:tcW w:type="dxa" w:w="1337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0.623</w:t>
            </w:r>
          </w:p>
        </w:tc>
      </w:tr>
    </w:tbl>
    <w:p/>
    <w:p>
      <w:pPr>
        <w:jc w:val="both"/>
      </w:pPr>
      <w:r>
        <w:rPr>
          <w:i/>
        </w:rPr>
        <w:t>Single-split comparison: the decision rule cannot be applied, and the ordering should not be treated as established (§4.6).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clinical_operating_point.csv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8 — Top 15 features by mean |SHAP|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8.</w:t>
      </w:r>
      <w:r>
        <w:t xml:space="preserve"> Top 15 features by mean |SHAP|, out-of-fold exact TreeSHAP over all 3000 patients, with the view each feature belongs 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Rank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Feature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 |SHAP|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View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age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0.3092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mat_composite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0.3015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disc_last_CRL_YSD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0.2806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GS_slope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0.1841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zGS_last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0.1712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comp_x_disc_spread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0.1711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zFHR_slope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0.1701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FHR_latest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0.1373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zFHR_last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0.1361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bmi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0.1036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conception_ivf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0.0999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zYSD_mean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0.0956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CRL_slope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0.0940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zYSD_min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0.0938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zFHR_mean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0.0925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engineered</w:t>
            </w:r>
          </w:p>
        </w:tc>
      </w:tr>
    </w:tbl>
    <w:p/>
    <w:p>
      <w:pPr>
        <w:jc w:val="both"/>
      </w:pPr>
      <w:r>
        <w:rPr>
          <w:i/>
        </w:rPr>
        <w:t>The engineered block carries 66.8 % of total attribution mass and supplies 13 of the top 20 features — while ablating it costs the deployed learner 0.002 AUROC (Table 4).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shap_global_importance.csv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9 — Training and inference cost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9.</w:t>
      </w:r>
      <w:r>
        <w:t xml:space="preserve"> Training and inference cost, measured on one fold on the same machine as all accuracy results. Deep-model figures are from the same programme's runtime benchmark on the same cohort.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Fit (s)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Inference (ms/patient)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Learned parameters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Logistic regression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0.040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0.0017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67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XGBoost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0.337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0.0033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tree ensemble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CAFE (XGBoost experts)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3.58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~0.007 †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418 + 2 ensembles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CatBoost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8.06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0.0050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tree ensemble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CAFE (CatBoost experts)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43.09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~0.011 †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418 + 2 ensembles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PREG-Net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266.32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1.071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16,130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FETA-Transformer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268.98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1.050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88,193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Gated deep hybrid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433.29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1.176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154,757</w:t>
            </w:r>
          </w:p>
        </w:tc>
      </w:tr>
    </w:tbl>
    <w:p/>
    <w:p>
      <w:pPr>
        <w:jc w:val="both"/>
      </w:pPr>
      <w:r>
        <w:t>† Inference for the CAFE arms is a component sum — two tree evaluations plus a 418-parameter MLP forward pass — rather than a direct end-to-end measurement, and is marked as an estimate.</w:t>
      </w:r>
    </w:p>
    <w:p>
      <w:pPr>
        <w:jc w:val="both"/>
      </w:pPr>
      <w:r>
        <w:rPr>
          <w:i/>
        </w:rPr>
        <w:t>CAFE-XGB trains 75× faster and CAFE-CatBoost 6.2× faster than the FETA-Transformer. Against their own matched baselines the direction reverses: 5.3× a single CatBoost fit and 10.6× a single XGBoost fit.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clinical_cost.csv</w:t>
      </w:r>
      <w:r>
        <w:t xml:space="preserve">, </w:t>
      </w:r>
      <w:r>
        <w:rPr>
          <w:rFonts w:ascii="Consolas" w:hAnsi="Consolas"/>
          <w:sz w:val="19"/>
        </w:rPr>
        <w:t>results/regime_study_2026-07-19/runtime_real_models.csv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Table 10 — Decomposition of the final AUROC</w:t>
      </w:r>
    </w:p>
    <w:p>
      <w:pPr>
        <w:jc w:val="both"/>
      </w:pPr>
      <w:r>
        <w:rPr>
          <w:i/>
        </w:rPr>
        <w:t>Caption:</w:t>
      </w:r>
      <w:r>
        <w:t xml:space="preserve"> </w:t>
      </w:r>
      <w:r>
        <w:rPr>
          <w:b/>
        </w:rPr>
        <w:t>Table 10.</w:t>
      </w:r>
      <w:r>
        <w:t xml:space="preserve"> Decomposition of the final AUROC: a five-step path from logistic regression on the base table to the full CAFE system, each step altering exactly one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AUROC</w:t>
            </w:r>
          </w:p>
        </w:tc>
        <w:tc>
          <w:tcPr>
            <w:tcW w:type="dxa" w:w="234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Δ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Logistic regression, base features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0.822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+ 43 engineered clinical features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0.837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+0.015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 swap learner to XGBoost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0.830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−0.007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 swap learner to CatBoost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0.851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+0.021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 split into views, add per-patient gate (</w:t>
            </w:r>
            <w:r>
              <w:rPr>
                <w:b/>
                <w:sz w:val="19"/>
              </w:rPr>
              <w:t>CAFE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0.852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+0.001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+ add sequence Encoder B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0.847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−0.005</w:t>
            </w:r>
          </w:p>
        </w:tc>
      </w:tr>
    </w:tbl>
    <w:p/>
    <w:p>
      <w:pPr>
        <w:jc w:val="both"/>
      </w:pPr>
      <w:r>
        <w:rPr>
          <w:i/>
        </w:rPr>
        <w:t>Total from step 0 to CAFE: +0.030 AUROC. Every individual step is a tie under the decision rule; the relative magnitudes are the finding.</w:t>
      </w:r>
    </w:p>
    <w:p>
      <w:pPr>
        <w:jc w:val="both"/>
      </w:pPr>
      <w:r>
        <w:rPr>
          <w:i/>
        </w:rPr>
        <w:t>Source:</w:t>
      </w:r>
      <w:r>
        <w:t xml:space="preserve"> </w:t>
      </w:r>
      <w:r>
        <w:rPr>
          <w:rFonts w:ascii="Consolas" w:hAnsi="Consolas"/>
          <w:sz w:val="19"/>
        </w:rPr>
        <w:t>xmodal_per_fold.csv</w:t>
      </w:r>
      <w:r>
        <w:t xml:space="preserve">, </w:t>
      </w:r>
      <w:r>
        <w:rPr>
          <w:rFonts w:ascii="Consolas" w:hAnsi="Consolas"/>
          <w:sz w:val="19"/>
        </w:rPr>
        <w:t>hybrid_catboost_experts_per_fold.csv</w:t>
      </w:r>
      <w:r>
        <w:t xml:space="preserve">, </w:t>
      </w:r>
      <w:r>
        <w:rPr>
          <w:rFonts w:ascii="Consolas" w:hAnsi="Consolas"/>
          <w:sz w:val="19"/>
        </w:rPr>
        <w:t>encoder_b_per_fold.csv</w:t>
      </w:r>
    </w:p>
    <w:p/>
    <w:p>
      <w:pPr>
        <w:pStyle w:val="Heading2"/>
        <w:spacing w:before="260" w:after="100"/>
      </w:pPr>
      <w:r>
        <w:rPr>
          <w:rFonts w:ascii="Times New Roman" w:hAnsi="Times New Roman"/>
          <w:color w:val="1F3B63"/>
          <w:sz w:val="28"/>
        </w:rPr>
      </w:r>
      <w:r>
        <w:rPr>
          <w:rFonts w:ascii="Times New Roman" w:hAnsi="Times New Roman"/>
          <w:color w:val="1F3B63"/>
          <w:sz w:val="28"/>
        </w:rPr>
        <w:t>Figures</w:t>
      </w:r>
    </w:p>
    <w:p>
      <w:pPr>
        <w:jc w:val="both"/>
      </w:pPr>
      <w:r>
        <w:t xml:space="preserve">All figures are pre-rendered PNGs. Regenerate with </w:t>
      </w:r>
      <w:r>
        <w:rPr>
          <w:rFonts w:ascii="Consolas" w:hAnsi="Consolas"/>
          <w:sz w:val="19"/>
        </w:rPr>
        <w:t>.venv/Scripts/python.exe results/xmodal_study_2026-07-22/make_cafe_figures.py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3120"/>
            <w:shd w:val="clear" w:fill="DCE6F1"/>
          </w:tcPr>
          <w:p>
            <w:pPr>
              <w:spacing w:before="40"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Caption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figures/cafe/fig_cafe_calibration.png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Figure 1.</w:t>
            </w:r>
            <w:r>
              <w:rPr>
                <w:sz w:val="19"/>
              </w:rPr>
              <w:t xml:space="preserve"> Reliability curves, pooled out-of-fold. The two XGBoost-derived arms bow away from the diagonal in the same direction; the CatBoost-derived arms track it.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figures/cafe/fig_cafe_decision_curve.png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Figure 2.</w:t>
            </w:r>
            <w:r>
              <w:rPr>
                <w:sz w:val="19"/>
              </w:rPr>
              <w:t xml:space="preserve"> Net benefit against risk threshold, with treat-all and treat-none references. The five model curves are visually superimposed; all sit far above both defaults beyond a 15 % threshold.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figures/cafe/fig_cafe_shap.png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Figure 3.</w:t>
            </w:r>
            <w:r>
              <w:rPr>
                <w:sz w:val="19"/>
              </w:rPr>
              <w:t xml:space="preserve"> Top 20 features by mean |SHAP|, coloured by view. Engineered features occupy 13 of the top 20 places.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figures/cafe/fig_cafe_accuracy_vs_cost.png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Figure 4.</w:t>
            </w:r>
            <w:r>
              <w:rPr>
                <w:sz w:val="19"/>
              </w:rPr>
              <w:t xml:space="preserve"> AUROC against training time on a logarithmic axis. The frontier is flat: two orders of magnitude of additional compute buy approximately 0.02 AUROC, and the last 5× buys 0.001.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figures/cafe/fig_cafe_ablation.png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Figure 5.</w:t>
            </w:r>
            <w:r>
              <w:rPr>
                <w:sz w:val="19"/>
              </w:rPr>
              <w:t xml:space="preserve"> Decomposition of the final AUROC rendered as a waterfall: the architecture step is +0.001.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