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jc w:val="center"/>
      </w:pPr>
      <w:r>
        <w:rPr>
          <w:rFonts w:ascii="Calibri" w:hAnsi="Calibri"/>
          <w:b/>
          <w:i w:val="0"/>
          <w:color w:val="2E74B5"/>
          <w:sz w:val="22"/>
        </w:rPr>
        <w:t>TECHNICAL REPORT</w:t>
      </w:r>
    </w:p>
    <w:p>
      <w:pPr>
        <w:jc w:val="center"/>
      </w:pPr>
      <w:r>
        <w:rPr>
          <w:rFonts w:ascii="Calibri" w:hAnsi="Calibri"/>
          <w:b/>
          <w:i w:val="0"/>
          <w:color w:val="17365D"/>
          <w:sz w:val="60"/>
        </w:rPr>
        <w:t>Ask My Documents</w:t>
      </w:r>
    </w:p>
    <w:p>
      <w:pPr>
        <w:jc w:val="center"/>
      </w:pPr>
      <w:r>
        <w:rPr>
          <w:rFonts w:ascii="Calibri" w:hAnsi="Calibri"/>
          <w:b w:val="0"/>
          <w:i w:val="0"/>
          <w:color w:val="5B6573"/>
          <w:sz w:val="28"/>
        </w:rPr>
        <w:t>Privacy-First Agentic Retrieval-Augmented Generation Platform</w:t>
      </w:r>
    </w:p>
    <w:p>
      <w:pPr>
        <w:spacing w:after="600"/>
      </w:pPr>
    </w:p>
    <w:tbl>
      <w:tblPr>
        <w:tblStyle w:val="TableGrid"/>
        <w:tblW w:type="auto" w:w="0"/>
        <w:jc w:val="center"/>
        <w:tblLook w:firstColumn="1" w:firstRow="1" w:lastColumn="0" w:lastRow="0" w:noHBand="0" w:noVBand="1" w:val="04A0"/>
      </w:tblPr>
      <w:tblGrid>
        <w:gridCol w:w="4896"/>
        <w:gridCol w:w="4896"/>
      </w:tblGrid>
      <w:tr>
        <w:tc>
          <w:tcPr>
            <w:tcW w:type="dxa" w:w="4608"/>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Report scope</w:t>
            </w:r>
          </w:p>
        </w:tc>
        <w:tc>
          <w:tcPr>
            <w:tcW w:type="dxa" w:w="4608"/>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Release context</w:t>
            </w:r>
          </w:p>
        </w:tc>
      </w:tr>
      <w:tr>
        <w:tc>
          <w:tcPr>
            <w:tcW w:type="dxa" w:w="460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System design, implementation, output and evaluation review</w:t>
            </w:r>
          </w:p>
        </w:tc>
        <w:tc>
          <w:tcPr>
            <w:tcW w:type="dxa" w:w="460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Local FastAPI + Streamlit application, reviewed July 2026</w:t>
            </w:r>
          </w:p>
        </w:tc>
      </w:tr>
    </w:tbl>
    <w:p>
      <w:pPr>
        <w:spacing w:after="60"/>
      </w:pPr>
    </w:p>
    <w:p>
      <w:pPr>
        <w:spacing w:after="2300"/>
      </w:pPr>
    </w:p>
    <w:p>
      <w:pPr>
        <w:jc w:val="center"/>
      </w:pPr>
      <w:r>
        <w:rPr>
          <w:rFonts w:ascii="Calibri" w:hAnsi="Calibri"/>
          <w:b w:val="0"/>
          <w:i/>
          <w:color w:val="5B6573"/>
          <w:sz w:val="20"/>
        </w:rPr>
        <w:t>Prepared from the project source code, documentation, and recorded evaluation log.</w:t>
      </w:r>
    </w:p>
    <w:p>
      <w:r>
        <w:br w:type="page"/>
      </w:r>
    </w:p>
    <w:p>
      <w:pPr>
        <w:pStyle w:val="Heading1"/>
      </w:pPr>
      <w:r>
        <w:rPr>
          <w:rFonts w:ascii="Calibri" w:hAnsi="Calibri"/>
          <w:b/>
          <w:i w:val="0"/>
          <w:color w:val="2E74B5"/>
          <w:sz w:val="32"/>
        </w:rPr>
        <w:t>Executive Summary</w:t>
      </w:r>
    </w:p>
    <w:p>
      <w:r>
        <w:rPr>
          <w:rFonts w:ascii="Calibri" w:hAnsi="Calibri"/>
          <w:b w:val="0"/>
          <w:i w:val="0"/>
          <w:color w:val="000000"/>
          <w:sz w:val="21"/>
        </w:rPr>
        <w:t>Ask My Documents is a local document-intelligence application that lets users upload PDFs, DOCX, text, and Markdown files, then ask natural-language questions over the indexed content. Its core design goal is to keep documents and inference on the user’s machine while delivering grounded answers with traceable citations.</w:t>
      </w:r>
    </w:p>
    <w:p>
      <w:r>
        <w:rPr>
          <w:rFonts w:ascii="Calibri" w:hAnsi="Calibri"/>
          <w:b w:val="0"/>
          <w:i w:val="0"/>
          <w:color w:val="000000"/>
          <w:sz w:val="21"/>
        </w:rPr>
        <w:t>The implemented solution combines document parsing, token-aware chunking, local embeddings, Chroma persistence, BM25 keyword retrieval, cross-encoder reranking, and an agentic answer pipeline. The pipeline routes conceptual questions through HyDE, expands direct questions into retrieval variants, evaluates context sufficiency, and synthesizes a cited response through a local Ollama model.</w:t>
      </w:r>
    </w:p>
    <w:p>
      <w:pPr>
        <w:pStyle w:val="Heading1"/>
      </w:pPr>
      <w:r>
        <w:rPr>
          <w:rFonts w:ascii="Calibri" w:hAnsi="Calibri"/>
          <w:b/>
          <w:i w:val="0"/>
          <w:color w:val="2E74B5"/>
          <w:sz w:val="32"/>
        </w:rPr>
        <w:t>Problem Statement</w:t>
      </w:r>
    </w:p>
    <w:p>
      <w:r>
        <w:rPr>
          <w:rFonts w:ascii="Calibri" w:hAnsi="Calibri"/>
          <w:b w:val="0"/>
          <w:i w:val="0"/>
          <w:color w:val="000000"/>
          <w:sz w:val="21"/>
        </w:rPr>
        <w:t>Organizations often hold policies, manuals, reports, and technical records in unstructured files. Conventional search is weak at understanding meaning, while cloud-based AI tools can be unsuitable when documents are confidential or must remain within a local environment. The practical problem is therefore to provide accurate, usable question answering over mixed local documents without exporting their contents to an external service.</w:t>
      </w:r>
    </w:p>
    <w:p>
      <w:pPr>
        <w:pStyle w:val="Heading1"/>
      </w:pPr>
      <w:r>
        <w:rPr>
          <w:rFonts w:ascii="Calibri" w:hAnsi="Calibri"/>
          <w:b/>
          <w:i w:val="0"/>
          <w:color w:val="2E74B5"/>
          <w:sz w:val="32"/>
        </w:rPr>
        <w:t>Solution Objectives</w:t>
      </w:r>
    </w:p>
    <w:p>
      <w:pPr>
        <w:pStyle w:val="ListBullet"/>
      </w:pPr>
      <w:r>
        <w:rPr>
          <w:rFonts w:ascii="Calibri" w:hAnsi="Calibri"/>
          <w:b w:val="0"/>
          <w:i w:val="0"/>
          <w:color w:val="000000"/>
          <w:sz w:val="21"/>
        </w:rPr>
        <w:t>Maintain a local-first data path for document storage, embeddings, retrieval, and language-model inference.</w:t>
      </w:r>
    </w:p>
    <w:p>
      <w:pPr>
        <w:pStyle w:val="ListBullet"/>
      </w:pPr>
      <w:r>
        <w:rPr>
          <w:rFonts w:ascii="Calibri" w:hAnsi="Calibri"/>
          <w:b w:val="0"/>
          <w:i w:val="0"/>
          <w:color w:val="000000"/>
          <w:sz w:val="21"/>
        </w:rPr>
        <w:t>Support PDF, DOCX, TXT, and Markdown sources, including tables and image-heavy PDF pages.</w:t>
      </w:r>
    </w:p>
    <w:p>
      <w:pPr>
        <w:pStyle w:val="ListBullet"/>
      </w:pPr>
      <w:r>
        <w:rPr>
          <w:rFonts w:ascii="Calibri" w:hAnsi="Calibri"/>
          <w:b w:val="0"/>
          <w:i w:val="0"/>
          <w:color w:val="000000"/>
          <w:sz w:val="21"/>
        </w:rPr>
        <w:t>Improve retrieval for both semantic questions and exact identifiers through hybrid search and cross-encoder reranking.</w:t>
      </w:r>
    </w:p>
    <w:p>
      <w:pPr>
        <w:pStyle w:val="ListBullet"/>
      </w:pPr>
      <w:r>
        <w:rPr>
          <w:rFonts w:ascii="Calibri" w:hAnsi="Calibri"/>
          <w:b w:val="0"/>
          <w:i w:val="0"/>
          <w:color w:val="000000"/>
          <w:sz w:val="21"/>
        </w:rPr>
        <w:t>Return an answer with source, page, and relevance-score citations.</w:t>
      </w:r>
    </w:p>
    <w:p>
      <w:pPr>
        <w:pStyle w:val="ListBullet"/>
      </w:pPr>
      <w:r>
        <w:rPr>
          <w:rFonts w:ascii="Calibri" w:hAnsi="Calibri"/>
          <w:b w:val="0"/>
          <w:i w:val="0"/>
          <w:color w:val="000000"/>
          <w:sz w:val="21"/>
        </w:rPr>
        <w:t>Provide a manageable document lifecycle: asynchronous ingestion, duplicate avoidance, persistent indexes, listing, and deletion.</w:t>
      </w:r>
    </w:p>
    <w:p>
      <w:pPr>
        <w:pStyle w:val="Heading1"/>
      </w:pPr>
      <w:r>
        <w:rPr>
          <w:rFonts w:ascii="Calibri" w:hAnsi="Calibri"/>
          <w:b/>
          <w:i w:val="0"/>
          <w:color w:val="2E74B5"/>
          <w:sz w:val="32"/>
        </w:rPr>
        <w:t>Solution Overview</w:t>
      </w:r>
    </w:p>
    <w:p>
      <w:r>
        <w:rPr>
          <w:rFonts w:ascii="Calibri" w:hAnsi="Calibri"/>
          <w:b w:val="0"/>
          <w:i w:val="0"/>
          <w:color w:val="000000"/>
          <w:sz w:val="21"/>
        </w:rPr>
        <w:t>The system is exposed through a FastAPI backend and a Streamlit interface. On upload, the service saves the file and starts a background ingestion task. The loader extracts content, the chunker produces overlapping retrieval units, and the vector-store manager persists each chunk in Chroma while maintaining a BM25 corpus and a document registry. A query flows through the RAG engine, which retrieves, reranks, optionally refines context, and calls the local LLM to create the final response.</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Stage</w:t>
            </w:r>
          </w:p>
        </w:tc>
        <w:tc>
          <w:tcPr>
            <w:tcW w:type="dxa" w:w="3168"/>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Implemented component</w:t>
            </w:r>
          </w:p>
        </w:tc>
        <w:tc>
          <w:tcPr>
            <w:tcW w:type="dxa" w:w="4752"/>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Outcome</w:t>
            </w:r>
          </w:p>
        </w:tc>
      </w:tr>
      <w:tr>
        <w:tc>
          <w:tcPr>
            <w:tcW w:type="dxa" w:w="144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Ingest</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DocumentLoader + BackgroundTasks</w:t>
            </w:r>
          </w:p>
        </w:tc>
        <w:tc>
          <w:tcPr>
            <w:tcW w:type="dxa" w:w="475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Extracts content without blocking the upload request.</w:t>
            </w:r>
          </w:p>
        </w:tc>
      </w:tr>
      <w:tr>
        <w:tc>
          <w:tcPr>
            <w:tcW w:type="dxa" w:w="144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Prepare</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DocumentChunker</w:t>
            </w:r>
          </w:p>
        </w:tc>
        <w:tc>
          <w:tcPr>
            <w:tcW w:type="dxa" w:w="475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Creates 600-token chunks with 100-token overlap.</w:t>
            </w:r>
          </w:p>
        </w:tc>
      </w:tr>
      <w:tr>
        <w:tc>
          <w:tcPr>
            <w:tcW w:type="dxa" w:w="144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Index</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Chroma + BM25 + registry</w:t>
            </w:r>
          </w:p>
        </w:tc>
        <w:tc>
          <w:tcPr>
            <w:tcW w:type="dxa" w:w="475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Persists semantic and lexical retrieval data.</w:t>
            </w:r>
          </w:p>
        </w:tc>
      </w:tr>
      <w:tr>
        <w:tc>
          <w:tcPr>
            <w:tcW w:type="dxa" w:w="144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Retrieve</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RAGEngine</w:t>
            </w:r>
          </w:p>
        </w:tc>
        <w:tc>
          <w:tcPr>
            <w:tcW w:type="dxa" w:w="475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Routes and expands queries; fetches candidates.</w:t>
            </w:r>
          </w:p>
        </w:tc>
      </w:tr>
      <w:tr>
        <w:tc>
          <w:tcPr>
            <w:tcW w:type="dxa" w:w="144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Rank</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DocumentReranker</w:t>
            </w:r>
          </w:p>
        </w:tc>
        <w:tc>
          <w:tcPr>
            <w:tcW w:type="dxa" w:w="475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Scores question-chunk pairs using a cross-encoder.</w:t>
            </w:r>
          </w:p>
        </w:tc>
      </w:tr>
      <w:tr>
        <w:tc>
          <w:tcPr>
            <w:tcW w:type="dxa" w:w="144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Answer</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Ollama / Llama 3</w:t>
            </w:r>
          </w:p>
        </w:tc>
        <w:tc>
          <w:tcPr>
            <w:tcW w:type="dxa" w:w="475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Generates a structured, grounded response and citations.</w:t>
            </w:r>
          </w:p>
        </w:tc>
      </w:tr>
    </w:tbl>
    <w:p>
      <w:pPr>
        <w:spacing w:after="60"/>
      </w:pPr>
    </w:p>
    <w:p>
      <w:pPr>
        <w:pStyle w:val="Heading1"/>
      </w:pPr>
      <w:r>
        <w:rPr>
          <w:rFonts w:ascii="Calibri" w:hAnsi="Calibri"/>
          <w:b/>
          <w:i w:val="0"/>
          <w:color w:val="2E74B5"/>
          <w:sz w:val="32"/>
        </w:rPr>
        <w:t>Architecture and Processing Flow</w:t>
      </w:r>
    </w:p>
    <w:p>
      <w:r>
        <w:rPr>
          <w:rFonts w:ascii="Calibri" w:hAnsi="Calibri"/>
          <w:b w:val="0"/>
          <w:i w:val="0"/>
          <w:color w:val="000000"/>
          <w:sz w:val="21"/>
        </w:rPr>
        <w:t>The architecture separates ingestion from query processing so a user can continue interacting with the service while a newly uploaded document is indexed.</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Input</w:t>
            </w:r>
          </w:p>
        </w:tc>
        <w:tc>
          <w:tcPr>
            <w:tcW w:type="dxa" w:w="4896"/>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Processing</w:t>
            </w:r>
          </w:p>
        </w:tc>
        <w:tc>
          <w:tcPr>
            <w:tcW w:type="dxa" w:w="2448"/>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Output</w:t>
            </w:r>
          </w:p>
        </w:tc>
      </w:tr>
      <w:tr>
        <w:tc>
          <w:tcPr>
            <w:tcW w:type="dxa" w:w="2016"/>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PDF / DOCX / TXT / MD</w:t>
            </w:r>
          </w:p>
        </w:tc>
        <w:tc>
          <w:tcPr>
            <w:tcW w:type="dxa" w:w="4896"/>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Load -&gt; table extraction / OCR fallback -&gt; chunk -&gt; embed -&gt; Chroma + BM25</w:t>
            </w:r>
          </w:p>
        </w:tc>
        <w:tc>
          <w:tcPr>
            <w:tcW w:type="dxa" w:w="244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Persistent local knowledge base</w:t>
            </w:r>
          </w:p>
        </w:tc>
      </w:tr>
      <w:tr>
        <w:tc>
          <w:tcPr>
            <w:tcW w:type="dxa" w:w="2016"/>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Natural-language question</w:t>
            </w:r>
          </w:p>
        </w:tc>
        <w:tc>
          <w:tcPr>
            <w:tcW w:type="dxa" w:w="4896"/>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Route -&gt; HyDE or multi-query -&gt; hybrid retrieval -&gt; rerank -&gt; critique/refinement</w:t>
            </w:r>
          </w:p>
        </w:tc>
        <w:tc>
          <w:tcPr>
            <w:tcW w:type="dxa" w:w="244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Answer, citations, and reasoning log</w:t>
            </w:r>
          </w:p>
        </w:tc>
      </w:tr>
    </w:tbl>
    <w:p>
      <w:pPr>
        <w:spacing w:after="60"/>
      </w:pPr>
    </w:p>
    <w:p>
      <w:pPr>
        <w:pStyle w:val="Heading2"/>
      </w:pPr>
      <w:r>
        <w:rPr>
          <w:rFonts w:ascii="Calibri" w:hAnsi="Calibri"/>
          <w:b/>
          <w:i w:val="0"/>
          <w:color w:val="2E74B5"/>
          <w:sz w:val="26"/>
        </w:rPr>
        <w:t>Key Implementation Details</w:t>
      </w:r>
    </w:p>
    <w:p>
      <w:pPr>
        <w:pStyle w:val="ListBullet"/>
      </w:pPr>
      <w:r>
        <w:rPr>
          <w:rFonts w:ascii="Calibri" w:hAnsi="Calibri"/>
          <w:b w:val="0"/>
          <w:i w:val="0"/>
          <w:color w:val="000000"/>
          <w:sz w:val="21"/>
        </w:rPr>
        <w:t>PDF ingestion uses pdfplumber to extract text and convert detected tables into Markdown; RapidOCR is used only when a page is image-heavy and has little extractable text.</w:t>
      </w:r>
    </w:p>
    <w:p>
      <w:pPr>
        <w:pStyle w:val="ListBullet"/>
      </w:pPr>
      <w:r>
        <w:rPr>
          <w:rFonts w:ascii="Calibri" w:hAnsi="Calibri"/>
          <w:b w:val="0"/>
          <w:i w:val="0"/>
          <w:color w:val="000000"/>
          <w:sz w:val="21"/>
        </w:rPr>
        <w:t>The document registry computes a SHA-256 hash from the document chunks. Duplicate content is skipped even when filenames differ.</w:t>
      </w:r>
    </w:p>
    <w:p>
      <w:pPr>
        <w:pStyle w:val="ListBullet"/>
      </w:pPr>
      <w:r>
        <w:rPr>
          <w:rFonts w:ascii="Calibri" w:hAnsi="Calibri"/>
          <w:b w:val="0"/>
          <w:i w:val="0"/>
          <w:color w:val="000000"/>
          <w:sz w:val="21"/>
        </w:rPr>
        <w:t>Atomic ingestion adds vectors first, then updates BM25 and the registry. If the logical update fails, newly added vector records are deleted to avoid an inconsistent index.</w:t>
      </w:r>
    </w:p>
    <w:p>
      <w:pPr>
        <w:pStyle w:val="ListBullet"/>
      </w:pPr>
      <w:r>
        <w:rPr>
          <w:rFonts w:ascii="Calibri" w:hAnsi="Calibri"/>
          <w:b w:val="0"/>
          <w:i w:val="0"/>
          <w:color w:val="000000"/>
          <w:sz w:val="21"/>
        </w:rPr>
        <w:t>Hybrid search alternates unique candidates from Chroma semantic search and BM25 lexical search. This helps retrieve both concepts and literal terms such as codes or identifiers.</w:t>
      </w:r>
    </w:p>
    <w:p>
      <w:pPr>
        <w:pStyle w:val="ListBullet"/>
      </w:pPr>
      <w:r>
        <w:rPr>
          <w:rFonts w:ascii="Calibri" w:hAnsi="Calibri"/>
          <w:b w:val="0"/>
          <w:i w:val="0"/>
          <w:color w:val="000000"/>
          <w:sz w:val="21"/>
        </w:rPr>
        <w:t>The reranker uses cross-encoder/ms-marco-MiniLM-L-6-v2 and attaches a score to each candidate before answer generation.</w:t>
      </w:r>
    </w:p>
    <w:p>
      <w:pPr>
        <w:pStyle w:val="Heading1"/>
      </w:pPr>
      <w:r>
        <w:rPr>
          <w:rFonts w:ascii="Calibri" w:hAnsi="Calibri"/>
          <w:b/>
          <w:i w:val="0"/>
          <w:color w:val="2E74B5"/>
          <w:sz w:val="32"/>
        </w:rPr>
        <w:t>Query Strategy</w:t>
      </w:r>
    </w:p>
    <w:p>
      <w:r>
        <w:rPr>
          <w:rFonts w:ascii="Calibri" w:hAnsi="Calibri"/>
          <w:b w:val="0"/>
          <w:i w:val="0"/>
          <w:color w:val="000000"/>
          <w:sz w:val="21"/>
        </w:rPr>
        <w:t>For questions of three words or fewer, the engine uses a fast path that bypasses routing and refinement. Longer questions are classified as DIRECT or HYDE. DIRECT questions are expanded into three query variants for recall; conceptual questions generate a hypothetical answer document (HyDE) for semantic retrieval. The highest-ranked context may bypass the critique loop when confidence is high; otherwise the local model judges context sufficiency and can launch a targeted corrective search.</w:t>
      </w:r>
    </w:p>
    <w:p>
      <w:pPr>
        <w:pStyle w:val="Heading1"/>
      </w:pPr>
      <w:r>
        <w:rPr>
          <w:rFonts w:ascii="Calibri" w:hAnsi="Calibri"/>
          <w:b/>
          <w:i w:val="0"/>
          <w:color w:val="2E74B5"/>
          <w:sz w:val="32"/>
        </w:rPr>
        <w:t>Interfaces and Expected Output</w:t>
      </w:r>
    </w:p>
    <w:p>
      <w:r>
        <w:rPr>
          <w:rFonts w:ascii="Calibri" w:hAnsi="Calibri"/>
          <w:b w:val="0"/>
          <w:i w:val="0"/>
          <w:color w:val="000000"/>
          <w:sz w:val="21"/>
        </w:rPr>
        <w:t>The backend exposes upload, query, document-listing, deletion, health, and root endpoints. The primary query request is POST /query with a question. The response contract contains the generated answer, citations, and an execution trace.</w:t>
      </w:r>
    </w:p>
    <w:tbl>
      <w:tblPr>
        <w:tblStyle w:val="TableGrid"/>
        <w:tblW w:type="auto" w:w="0"/>
        <w:jc w:val="center"/>
        <w:tblLook w:firstColumn="1" w:firstRow="1" w:lastColumn="0" w:lastRow="0" w:noHBand="0" w:noVBand="1" w:val="04A0"/>
      </w:tblPr>
      <w:tblGrid>
        <w:gridCol w:w="3264"/>
        <w:gridCol w:w="3264"/>
        <w:gridCol w:w="3264"/>
      </w:tblGrid>
      <w:tr>
        <w:tc>
          <w:tcPr>
            <w:tcW w:type="dxa" w:w="2232"/>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Endpoint</w:t>
            </w:r>
          </w:p>
        </w:tc>
        <w:tc>
          <w:tcPr>
            <w:tcW w:type="dxa" w:w="3168"/>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Purpose</w:t>
            </w:r>
          </w:p>
        </w:tc>
        <w:tc>
          <w:tcPr>
            <w:tcW w:type="dxa" w:w="3960"/>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Representative result</w:t>
            </w:r>
          </w:p>
        </w:tc>
      </w:tr>
      <w:tr>
        <w:tc>
          <w:tcPr>
            <w:tcW w:type="dxa" w:w="223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POST /upload</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Store a file and begin background processing</w:t>
            </w:r>
          </w:p>
        </w:tc>
        <w:tc>
          <w:tcPr>
            <w:tcW w:type="dxa" w:w="396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status: processing; filename; confirmation message</w:t>
            </w:r>
          </w:p>
        </w:tc>
      </w:tr>
      <w:tr>
        <w:tc>
          <w:tcPr>
            <w:tcW w:type="dxa" w:w="223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POST /query</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Answer a user question over indexed content</w:t>
            </w:r>
          </w:p>
        </w:tc>
        <w:tc>
          <w:tcPr>
            <w:tcW w:type="dxa" w:w="396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answer; citations[source, page, score]; reasoning_log</w:t>
            </w:r>
          </w:p>
        </w:tc>
      </w:tr>
      <w:tr>
        <w:tc>
          <w:tcPr>
            <w:tcW w:type="dxa" w:w="223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GET /documents</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Show document registry</w:t>
            </w:r>
          </w:p>
        </w:tc>
        <w:tc>
          <w:tcPr>
            <w:tcW w:type="dxa" w:w="396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Known content hashes and ingestion metadata</w:t>
            </w:r>
          </w:p>
        </w:tc>
      </w:tr>
      <w:tr>
        <w:tc>
          <w:tcPr>
            <w:tcW w:type="dxa" w:w="223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DELETE /documents/{hash}</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Purge a document from both indexes</w:t>
            </w:r>
          </w:p>
        </w:tc>
        <w:tc>
          <w:tcPr>
            <w:tcW w:type="dxa" w:w="396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status: success</w:t>
            </w:r>
          </w:p>
        </w:tc>
      </w:tr>
      <w:tr>
        <w:tc>
          <w:tcPr>
            <w:tcW w:type="dxa" w:w="223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GET /health</w:t>
            </w:r>
          </w:p>
        </w:tc>
        <w:tc>
          <w:tcPr>
            <w:tcW w:type="dxa" w:w="3168"/>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Confirm service availability</w:t>
            </w:r>
          </w:p>
        </w:tc>
        <w:tc>
          <w:tcPr>
            <w:tcW w:type="dxa" w:w="3960"/>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status: healthy; API and backend details</w:t>
            </w:r>
          </w:p>
        </w:tc>
      </w:tr>
    </w:tbl>
    <w:p>
      <w:pPr>
        <w:spacing w:after="60"/>
      </w:pPr>
    </w:p>
    <w:p>
      <w:r>
        <w:rPr>
          <w:rFonts w:ascii="Calibri" w:hAnsi="Calibri"/>
          <w:b/>
          <w:i w:val="0"/>
          <w:color w:val="000000"/>
          <w:sz w:val="21"/>
        </w:rPr>
        <w:t>Representative query response (schema illustration; values depend on the indexed document):</w:t>
      </w:r>
      <w:r>
        <w:rPr>
          <w:rFonts w:ascii="Calibri" w:hAnsi="Calibri"/>
          <w:b w:val="0"/>
          <w:i w:val="0"/>
          <w:color w:val="000000"/>
          <w:sz w:val="21"/>
        </w:rPr>
      </w:r>
    </w:p>
    <w:p>
      <w:pPr>
        <w:spacing w:after="160"/>
        <w:ind w:left="288" w:right="288"/>
        <w:shd w:fill="F1F5F9"/>
      </w:pPr>
      <w:r>
        <w:rPr>
          <w:rFonts w:ascii="Calibri" w:hAnsi="Calibri"/>
          <w:b w:val="0"/>
          <w:i w:val="0"/>
          <w:color w:val="243447"/>
          <w:sz w:val="17"/>
        </w:rPr>
        <w:t>{</w:t>
        <w:br/>
      </w:r>
      <w:r>
        <w:rPr>
          <w:rFonts w:ascii="Calibri" w:hAnsi="Calibri"/>
          <w:b w:val="0"/>
          <w:i w:val="0"/>
          <w:color w:val="243447"/>
          <w:sz w:val="17"/>
        </w:rPr>
        <w:t xml:space="preserve">  "answer": "&lt;grounded answer generated locally&gt;",</w:t>
        <w:br/>
      </w:r>
      <w:r>
        <w:rPr>
          <w:rFonts w:ascii="Calibri" w:hAnsi="Calibri"/>
          <w:b w:val="0"/>
          <w:i w:val="0"/>
          <w:color w:val="243447"/>
          <w:sz w:val="17"/>
        </w:rPr>
        <w:t xml:space="preserve">  "citations": [{"source": "policy.pdf", "page": 4, "score": 5.21}],</w:t>
        <w:br/>
      </w:r>
      <w:r>
        <w:rPr>
          <w:rFonts w:ascii="Calibri" w:hAnsi="Calibri"/>
          <w:b w:val="0"/>
          <w:i w:val="0"/>
          <w:color w:val="243447"/>
          <w:sz w:val="17"/>
        </w:rPr>
        <w:t xml:space="preserve">  "reasoning_log": ["Routing Decision: DIRECT (...)" ]</w:t>
        <w:br/>
      </w:r>
      <w:r>
        <w:rPr>
          <w:rFonts w:ascii="Calibri" w:hAnsi="Calibri"/>
          <w:b w:val="0"/>
          <w:i w:val="0"/>
          <w:color w:val="243447"/>
          <w:sz w:val="17"/>
        </w:rPr>
        <w:t>}</w:t>
        <w:br/>
      </w:r>
    </w:p>
    <w:p>
      <w:pPr>
        <w:pStyle w:val="Heading1"/>
      </w:pPr>
      <w:r>
        <w:rPr>
          <w:rFonts w:ascii="Calibri" w:hAnsi="Calibri"/>
          <w:b/>
          <w:i w:val="0"/>
          <w:color w:val="2E74B5"/>
          <w:sz w:val="32"/>
        </w:rPr>
        <w:t>Recorded Evaluation Output</w:t>
      </w:r>
    </w:p>
    <w:p>
      <w:r>
        <w:rPr>
          <w:rFonts w:ascii="Calibri" w:hAnsi="Calibri"/>
          <w:b w:val="0"/>
          <w:i w:val="0"/>
          <w:color w:val="000000"/>
          <w:sz w:val="21"/>
        </w:rPr>
        <w:t>The checked-in evaluation log contains five test cases. Its recorded mean faithfulness is 0.80 and mean relevance is 0.08. Every response in that CSV is the abstention message, “I couldn't find any relevant information to answer that question.” The faithfulness score should therefore not be interpreted as end-to-end usefulness: a non-answer can be faithful because it does not invent facts, while still failing to answer the question.</w:t>
      </w:r>
    </w:p>
    <w:tbl>
      <w:tblPr>
        <w:tblStyle w:val="TableGrid"/>
        <w:tblW w:type="auto" w:w="0"/>
        <w:jc w:val="center"/>
        <w:tblLook w:firstColumn="1" w:firstRow="1" w:lastColumn="0" w:lastRow="0" w:noHBand="0" w:noVBand="1" w:val="04A0"/>
      </w:tblPr>
      <w:tblGrid>
        <w:gridCol w:w="3264"/>
        <w:gridCol w:w="3264"/>
        <w:gridCol w:w="3264"/>
      </w:tblGrid>
      <w:tr>
        <w:tc>
          <w:tcPr>
            <w:tcW w:type="dxa" w:w="2232"/>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Recorded metric</w:t>
            </w:r>
          </w:p>
        </w:tc>
        <w:tc>
          <w:tcPr>
            <w:tcW w:type="dxa" w:w="1584"/>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Value</w:t>
            </w:r>
          </w:p>
        </w:tc>
        <w:tc>
          <w:tcPr>
            <w:tcW w:type="dxa" w:w="5544"/>
            <w:shd w:fill="17365D"/>
            <w:tcBorders>
              <w:top w:val="single" w:sz="4" w:color="17365D"/>
              <w:left w:val="single" w:sz="4" w:color="17365D"/>
              <w:bottom w:val="single" w:sz="4" w:color="17365D"/>
              <w:right w:val="single" w:sz="4" w:color="17365D"/>
            </w:tcBorders>
            <w:tcMar>
              <w:top w:w="100" w:type="dxa"/>
              <w:start w:w="120" w:type="dxa"/>
              <w:bottom w:w="100" w:type="dxa"/>
              <w:end w:w="120" w:type="dxa"/>
            </w:tcMar>
            <w:vAlign w:val="center"/>
          </w:tcPr>
          <w:p>
            <w:pPr>
              <w:jc w:val="center"/>
            </w:pPr>
            <w:r>
              <w:rPr>
                <w:rFonts w:ascii="Calibri" w:hAnsi="Calibri"/>
                <w:b/>
                <w:i w:val="0"/>
                <w:color w:val="FFFFFF"/>
                <w:sz w:val="19"/>
              </w:rPr>
              <w:t>Interpretation</w:t>
            </w:r>
          </w:p>
        </w:tc>
      </w:tr>
      <w:tr>
        <w:tc>
          <w:tcPr>
            <w:tcW w:type="dxa" w:w="223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Test cases</w:t>
            </w:r>
          </w:p>
        </w:tc>
        <w:tc>
          <w:tcPr>
            <w:tcW w:type="dxa" w:w="1584"/>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5</w:t>
            </w:r>
          </w:p>
        </w:tc>
        <w:tc>
          <w:tcPr>
            <w:tcW w:type="dxa" w:w="5544"/>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Questions target an AI-implementation document.</w:t>
            </w:r>
          </w:p>
        </w:tc>
      </w:tr>
      <w:tr>
        <w:tc>
          <w:tcPr>
            <w:tcW w:type="dxa" w:w="223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Mean faithfulness</w:t>
            </w:r>
          </w:p>
        </w:tc>
        <w:tc>
          <w:tcPr>
            <w:tcW w:type="dxa" w:w="1584"/>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0.80</w:t>
            </w:r>
          </w:p>
        </w:tc>
        <w:tc>
          <w:tcPr>
            <w:tcW w:type="dxa" w:w="5544"/>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Recorded local-judge score; reflects grounded/non-hallucinatory behavior.</w:t>
            </w:r>
          </w:p>
        </w:tc>
      </w:tr>
      <w:tr>
        <w:tc>
          <w:tcPr>
            <w:tcW w:type="dxa" w:w="223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Mean relevance</w:t>
            </w:r>
          </w:p>
        </w:tc>
        <w:tc>
          <w:tcPr>
            <w:tcW w:type="dxa" w:w="1584"/>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0.08</w:t>
            </w:r>
          </w:p>
        </w:tc>
        <w:tc>
          <w:tcPr>
            <w:tcW w:type="dxa" w:w="5544"/>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tcPr>
          <w:p>
            <w:r>
              <w:rPr>
                <w:rFonts w:ascii="Calibri" w:hAnsi="Calibri"/>
                <w:b w:val="0"/>
                <w:i w:val="0"/>
                <w:color w:val="000000"/>
                <w:sz w:val="18"/>
              </w:rPr>
              <w:t>Low usefulness in the recorded run; answers were abstentions.</w:t>
            </w:r>
          </w:p>
        </w:tc>
      </w:tr>
      <w:tr>
        <w:tc>
          <w:tcPr>
            <w:tcW w:type="dxa" w:w="2232"/>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Successful substantive answers</w:t>
            </w:r>
          </w:p>
        </w:tc>
        <w:tc>
          <w:tcPr>
            <w:tcW w:type="dxa" w:w="1584"/>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0 of 5</w:t>
            </w:r>
          </w:p>
        </w:tc>
        <w:tc>
          <w:tcPr>
            <w:tcW w:type="dxa" w:w="5544"/>
            <w:tcBorders>
              <w:top w:val="single" w:sz="4" w:color="D9E2F3"/>
              <w:left w:val="single" w:sz="4" w:color="D9E2F3"/>
              <w:bottom w:val="single" w:sz="4" w:color="D9E2F3"/>
              <w:right w:val="single" w:sz="4" w:color="D9E2F3"/>
            </w:tcBorders>
            <w:tcMar>
              <w:top w:w="100" w:type="dxa"/>
              <w:start w:w="120" w:type="dxa"/>
              <w:bottom w:w="100" w:type="dxa"/>
              <w:end w:w="120" w:type="dxa"/>
            </w:tcMar>
            <w:vAlign w:val="center"/>
            <w:shd w:fill="F7FAFD"/>
          </w:tcPr>
          <w:p>
            <w:r>
              <w:rPr>
                <w:rFonts w:ascii="Calibri" w:hAnsi="Calibri"/>
                <w:b w:val="0"/>
                <w:i w:val="0"/>
                <w:color w:val="000000"/>
                <w:sz w:val="18"/>
              </w:rPr>
              <w:t>All logged answers reported no relevant information.</w:t>
            </w:r>
          </w:p>
        </w:tc>
      </w:tr>
    </w:tbl>
    <w:p>
      <w:pPr>
        <w:spacing w:after="60"/>
      </w:pPr>
    </w:p>
    <w:p>
      <w:pPr>
        <w:pStyle w:val="Heading1"/>
      </w:pPr>
      <w:r>
        <w:rPr>
          <w:rFonts w:ascii="Calibri" w:hAnsi="Calibri"/>
          <w:b/>
          <w:i w:val="0"/>
          <w:color w:val="2E74B5"/>
          <w:sz w:val="32"/>
        </w:rPr>
        <w:t>Findings, Limitations, and Recommendations</w:t>
      </w:r>
    </w:p>
    <w:p>
      <w:r>
        <w:rPr>
          <w:rFonts w:ascii="Calibri" w:hAnsi="Calibri"/>
          <w:b w:val="0"/>
          <w:i w:val="0"/>
          <w:color w:val="000000"/>
          <w:sz w:val="21"/>
        </w:rPr>
        <w:t>The source base demonstrates a strong privacy-oriented architecture and includes meaningful safeguards for lifecycle consistency and retrieval quality. However, the recorded evaluation output shows that the current indexed corpus or retrieval configuration did not supply answerable context for the supplied test set. This is an operational quality issue, not proof that the RAG pipeline is reliable for the target document set.</w:t>
      </w:r>
    </w:p>
    <w:p>
      <w:pPr>
        <w:pStyle w:val="ListBullet"/>
      </w:pPr>
      <w:r>
        <w:rPr>
          <w:rFonts w:ascii="Calibri" w:hAnsi="Calibri"/>
          <w:b w:val="0"/>
          <w:i w:val="0"/>
          <w:color w:val="000000"/>
          <w:sz w:val="21"/>
        </w:rPr>
        <w:t>Re-run the evaluation after verifying that the intended test document is present in the persistent Chroma and BM25 stores; record the corpus version, model version, and ingestion timestamp.</w:t>
      </w:r>
    </w:p>
    <w:p>
      <w:pPr>
        <w:pStyle w:val="ListBullet"/>
      </w:pPr>
      <w:r>
        <w:rPr>
          <w:rFonts w:ascii="Calibri" w:hAnsi="Calibri"/>
          <w:b w:val="0"/>
          <w:i w:val="0"/>
          <w:color w:val="000000"/>
          <w:sz w:val="21"/>
        </w:rPr>
        <w:t>Correct the evaluator’s context construction. The query endpoint returns citation metadata rather than the chunk text, but the evaluation code attempts to read citation content. Pass the retrieved chunk text explicitly to the judge or evaluate the final answer against the original source passages.</w:t>
      </w:r>
    </w:p>
    <w:p>
      <w:pPr>
        <w:pStyle w:val="ListBullet"/>
      </w:pPr>
      <w:r>
        <w:rPr>
          <w:rFonts w:ascii="Calibri" w:hAnsi="Calibri"/>
          <w:b w:val="0"/>
          <w:i w:val="0"/>
          <w:color w:val="000000"/>
          <w:sz w:val="21"/>
        </w:rPr>
        <w:t>Report answer rate, citation precision, retrieval recall, latency, and abstention rate alongside faithfulness and relevance. Use a larger, labeled test set.</w:t>
      </w:r>
    </w:p>
    <w:p>
      <w:pPr>
        <w:pStyle w:val="ListBullet"/>
      </w:pPr>
      <w:r>
        <w:rPr>
          <w:rFonts w:ascii="Calibri" w:hAnsi="Calibri"/>
          <w:b w:val="0"/>
          <w:i w:val="0"/>
          <w:color w:val="000000"/>
          <w:sz w:val="21"/>
        </w:rPr>
        <w:t>Apply access controls and tighten CORS before production deployment; the current backend permits all origins, methods, headers, and credentials.</w:t>
      </w:r>
    </w:p>
    <w:p>
      <w:pPr>
        <w:pStyle w:val="ListBullet"/>
      </w:pPr>
      <w:r>
        <w:rPr>
          <w:rFonts w:ascii="Calibri" w:hAnsi="Calibri"/>
          <w:b w:val="0"/>
          <w:i w:val="0"/>
          <w:color w:val="000000"/>
          <w:sz w:val="21"/>
        </w:rPr>
        <w:t>Add observability around background task failures and expose ingestion progress so users can verify when a document is query-ready.</w:t>
      </w:r>
    </w:p>
    <w:p>
      <w:pPr>
        <w:pStyle w:val="Heading1"/>
      </w:pPr>
      <w:r>
        <w:rPr>
          <w:rFonts w:ascii="Calibri" w:hAnsi="Calibri"/>
          <w:b/>
          <w:i w:val="0"/>
          <w:color w:val="2E74B5"/>
          <w:sz w:val="32"/>
        </w:rPr>
        <w:t>Conclusion</w:t>
      </w:r>
    </w:p>
    <w:p>
      <w:r>
        <w:rPr>
          <w:rFonts w:ascii="Calibri" w:hAnsi="Calibri"/>
          <w:b w:val="0"/>
          <w:i w:val="0"/>
          <w:color w:val="000000"/>
          <w:sz w:val="21"/>
        </w:rPr>
        <w:t>Ask My Documents provides a coherent local RAG solution for private document question answering. Its design combines multimodal ingestion, hybrid retrieval, cross-encoder ranking, agentic refinement, and citation-aware output in a straightforward FastAPI service. The next engineering priority is disciplined evaluation and corpus-validation work: the recorded output demonstrates safe abstention but not yet successful question answering on the supplied benchmark.</w:t>
      </w:r>
    </w:p>
    <w:p>
      <w:pPr>
        <w:pStyle w:val="Heading1"/>
      </w:pPr>
      <w:r>
        <w:rPr>
          <w:rFonts w:ascii="Calibri" w:hAnsi="Calibri"/>
          <w:b/>
          <w:i w:val="0"/>
          <w:color w:val="2E74B5"/>
          <w:sz w:val="32"/>
        </w:rPr>
        <w:t>Evidence Base</w:t>
      </w:r>
    </w:p>
    <w:p>
      <w:pPr>
        <w:pStyle w:val="ListBullet"/>
      </w:pPr>
      <w:r>
        <w:rPr>
          <w:rFonts w:ascii="Calibri" w:hAnsi="Calibri"/>
          <w:b w:val="0"/>
          <w:i w:val="0"/>
          <w:color w:val="000000"/>
          <w:sz w:val="21"/>
        </w:rPr>
        <w:t>app/rag/engine.py - agentic query flow, HyDE, multi-query expansion, critique, answer contract.</w:t>
      </w:r>
    </w:p>
    <w:p>
      <w:pPr>
        <w:pStyle w:val="ListBullet"/>
      </w:pPr>
      <w:r>
        <w:rPr>
          <w:rFonts w:ascii="Calibri" w:hAnsi="Calibri"/>
          <w:b w:val="0"/>
          <w:i w:val="0"/>
          <w:color w:val="000000"/>
          <w:sz w:val="21"/>
        </w:rPr>
        <w:t>app/rag/vectorstore.py - Chroma/BM25 hybrid storage, registry, hashing, atomic rollback, deletion.</w:t>
      </w:r>
    </w:p>
    <w:p>
      <w:pPr>
        <w:pStyle w:val="ListBullet"/>
      </w:pPr>
      <w:r>
        <w:rPr>
          <w:rFonts w:ascii="Calibri" w:hAnsi="Calibri"/>
          <w:b w:val="0"/>
          <w:i w:val="0"/>
          <w:color w:val="000000"/>
          <w:sz w:val="21"/>
        </w:rPr>
        <w:t>app/rag/loader.py and app/rag/chunker.py - supported formats, table/OCR behavior, chunk settings.</w:t>
      </w:r>
    </w:p>
    <w:p>
      <w:pPr>
        <w:pStyle w:val="ListBullet"/>
      </w:pPr>
      <w:r>
        <w:rPr>
          <w:rFonts w:ascii="Calibri" w:hAnsi="Calibri"/>
          <w:b w:val="0"/>
          <w:i w:val="0"/>
          <w:color w:val="000000"/>
          <w:sz w:val="21"/>
        </w:rPr>
        <w:t>app/routes.py and app/main.py - API contract and service configuration.</w:t>
      </w:r>
    </w:p>
    <w:p>
      <w:pPr>
        <w:pStyle w:val="ListBullet"/>
      </w:pPr>
      <w:r>
        <w:rPr>
          <w:rFonts w:ascii="Calibri" w:hAnsi="Calibri"/>
          <w:b w:val="0"/>
          <w:i w:val="0"/>
          <w:color w:val="000000"/>
          <w:sz w:val="21"/>
        </w:rPr>
        <w:t>logs/evaluation_report_v2.csv - five recorded scores and response outputs.</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Ask My Documents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My Documents - Technical Report</dc:title>
  <dc:subject>Technical report</dc:subject>
  <dc:creator>Ask My Documents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