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666666"/>
          <w:sz w:val="18"/>
          <w:szCs w:val="18"/>
        </w:rPr>
        <w:t xml:space="preserve">COLOSSEUM · DECISION BRIEF DEC-001</w:t>
      </w:r>
    </w:p>
    <w:p>
      <w:pPr>
        <w:pStyle w:val="Heading1"/>
        <w:spacing w:after="120"/>
      </w:pPr>
      <w:r>
        <w:rPr>
          <w:rFonts w:ascii="Arial" w:cs="Arial" w:eastAsia="Arial" w:hAnsi="Arial"/>
          <w:b/>
          <w:bCs/>
          <w:sz w:val="36"/>
          <w:szCs w:val="36"/>
        </w:rPr>
        <w:t xml:space="preserve">Move 40% of payment volume to Brevis Pay?</w:t>
      </w:r>
    </w:p>
    <w:p>
      <w:pPr>
        <w:spacing w:after="120"/>
        <w:rPr>
          <w:color w:val="555555"/>
          <w:sz w:val="20"/>
          <w:szCs w:val="20"/>
        </w:rPr>
      </w:pPr>
      <w:r>
        <w:rPr>
          <w:rFonts w:ascii="Arial" w:cs="Arial" w:eastAsia="Arial" w:hAnsi="Arial"/>
          <w:color w:val="555555"/>
          <w:sz w:val="20"/>
          <w:szCs w:val="20"/>
        </w:rPr>
        <w:t xml:space="preserve">Company: Legion Capital Ltd (fictional NBFC)  ·  Decision owner: Chief Operating Officer  ·  Decide within: 2 weeks</w:t>
      </w:r>
    </w:p>
    <w:p>
      <w:pPr>
        <w:pStyle w:val="Heading2"/>
        <w:spacing w:after="100" w:before="220"/>
      </w:pPr>
      <w:r>
        <w:rPr>
          <w:rFonts w:ascii="Arial" w:cs="Arial" w:eastAsia="Arial" w:hAnsi="Arial"/>
          <w:b/>
          <w:bCs/>
          <w:color w:val="8A2E38"/>
          <w:sz w:val="26"/>
          <w:szCs w:val="26"/>
        </w:rPr>
        <w:t xml:space="preserve">Question</w:t>
      </w:r>
    </w:p>
    <w:p>
      <w:pPr>
        <w:spacing w:after="120"/>
      </w:pPr>
      <w:r>
        <w:rPr>
          <w:rFonts w:ascii="Arial" w:cs="Arial" w:eastAsia="Arial" w:hAnsi="Arial"/>
          <w:sz w:val="22"/>
          <w:szCs w:val="22"/>
        </w:rPr>
        <w:t xml:space="preserve">Should Legion Capital move 40% of its payment volume (about ₹600 crore a month) from Arvanta Payments to Brevis Pay?</w:t>
      </w:r>
    </w:p>
    <w:p>
      <w:pPr>
        <w:pStyle w:val="Heading2"/>
        <w:spacing w:after="100" w:before="220"/>
      </w:pPr>
      <w:r>
        <w:rPr>
          <w:rFonts w:ascii="Arial" w:cs="Arial" w:eastAsia="Arial" w:hAnsi="Arial"/>
          <w:b/>
          <w:bCs/>
          <w:color w:val="8A2E38"/>
          <w:sz w:val="26"/>
          <w:szCs w:val="26"/>
        </w:rPr>
        <w:t xml:space="preserve">Background</w:t>
      </w:r>
    </w:p>
    <w:p>
      <w:pPr>
        <w:spacing w:after="120"/>
      </w:pPr>
      <w:r>
        <w:rPr>
          <w:rFonts w:ascii="Arial" w:cs="Arial" w:eastAsia="Arial" w:hAnsi="Arial"/>
          <w:sz w:val="22"/>
          <w:szCs w:val="22"/>
        </w:rPr>
        <w:t xml:space="preserve">Legion Capital is a Mumbai-based NBFC offering digital personal loans and SME working-capital loans, plus Legion Pay, a checkout product for its SME borrowers. It processes about 10 million payment transactions a month (around ₹1,500 crore): loan collections through UPI AutoPay, eNACH and cards, and Legion Pay checkout. All of it runs through Arvanta Payments today.</w:t>
      </w:r>
    </w:p>
    <w:p>
      <w:pPr>
        <w:spacing w:after="120"/>
      </w:pPr>
      <w:r>
        <w:rPr>
          <w:rFonts w:ascii="Arial" w:cs="Arial" w:eastAsia="Arial" w:hAnsi="Arial"/>
          <w:sz w:val="22"/>
          <w:szCs w:val="22"/>
        </w:rPr>
        <w:t xml:space="preserve">Four pressures have built up this year: payment costs are over budget; cross-border SME merchants need international card acceptance that Arvanta doesn't offer; settlement-delay complaints about Arvanta have nearly tripled since July; and a 4-hour Arvanta outage in June delayed ₹2.3 crore of collections. Brevis Pay has run a 2% pilot since August 2026 and sent its final quote on 15 September.</w:t>
      </w:r>
    </w:p>
    <w:p>
      <w:pPr>
        <w:pStyle w:val="Heading2"/>
        <w:spacing w:after="100" w:before="220"/>
      </w:pPr>
      <w:r>
        <w:rPr>
          <w:rFonts w:ascii="Arial" w:cs="Arial" w:eastAsia="Arial" w:hAnsi="Arial"/>
          <w:b/>
          <w:bCs/>
          <w:color w:val="8A2E38"/>
          <w:sz w:val="26"/>
          <w:szCs w:val="26"/>
        </w:rPr>
        <w:t xml:space="preserve">Options</w:t>
      </w:r>
    </w:p>
    <w:p>
      <w:pPr>
        <w:pStyle w:val="ListParagraph"/>
        <w:numPr>
          <w:ilvl w:val="0"/>
          <w:numId w:val="2"/>
        </w:numPr>
        <w:spacing w:after="60"/>
      </w:pPr>
      <w:r>
        <w:rPr>
          <w:rFonts w:ascii="Arial" w:cs="Arial" w:eastAsia="Arial" w:hAnsi="Arial"/>
          <w:b/>
          <w:bCs/>
          <w:sz w:val="22"/>
          <w:szCs w:val="22"/>
        </w:rPr>
        <w:t xml:space="preserve">Option A:</w:t>
      </w:r>
      <w:r>
        <w:rPr>
          <w:rFonts w:ascii="Arial" w:cs="Arial" w:eastAsia="Arial" w:hAnsi="Arial"/>
          <w:sz w:val="22"/>
          <w:szCs w:val="22"/>
        </w:rPr>
        <w:t xml:space="preserve"> Stay with Arvanta Payments for 100% of volume.</w:t>
      </w:r>
    </w:p>
    <w:p>
      <w:pPr>
        <w:pStyle w:val="ListParagraph"/>
        <w:numPr>
          <w:ilvl w:val="0"/>
          <w:numId w:val="2"/>
        </w:numPr>
        <w:spacing w:after="60"/>
      </w:pPr>
      <w:r>
        <w:rPr>
          <w:rFonts w:ascii="Arial" w:cs="Arial" w:eastAsia="Arial" w:hAnsi="Arial"/>
          <w:b/>
          <w:bCs/>
          <w:sz w:val="22"/>
          <w:szCs w:val="22"/>
        </w:rPr>
        <w:t xml:space="preserve">Option B:</w:t>
      </w:r>
      <w:r>
        <w:rPr>
          <w:rFonts w:ascii="Arial" w:cs="Arial" w:eastAsia="Arial" w:hAnsi="Arial"/>
          <w:sz w:val="22"/>
          <w:szCs w:val="22"/>
        </w:rPr>
        <w:t xml:space="preserve"> Move 40% of volume to Brevis Pay.</w:t>
      </w:r>
    </w:p>
    <w:p>
      <w:pPr>
        <w:spacing w:after="120"/>
        <w:rPr>
          <w:i/>
          <w:iCs/>
          <w:color w:val="555555"/>
        </w:rPr>
      </w:pPr>
      <w:r>
        <w:rPr>
          <w:rFonts w:ascii="Arial" w:cs="Arial" w:eastAsia="Arial" w:hAnsi="Arial"/>
          <w:i/>
          <w:iCs/>
          <w:color w:val="555555"/>
          <w:sz w:val="22"/>
          <w:szCs w:val="22"/>
        </w:rPr>
        <w:t xml:space="preserve">Advisers may propose a variation, such as a phased move, if the evidence supports it.</w:t>
      </w:r>
    </w:p>
    <w:p>
      <w:pPr>
        <w:pStyle w:val="Heading2"/>
        <w:spacing w:after="100" w:before="220"/>
      </w:pPr>
      <w:r>
        <w:rPr>
          <w:rFonts w:ascii="Arial" w:cs="Arial" w:eastAsia="Arial" w:hAnsi="Arial"/>
          <w:b/>
          <w:bCs/>
          <w:color w:val="8A2E38"/>
          <w:sz w:val="26"/>
          <w:szCs w:val="26"/>
        </w:rPr>
        <w:t xml:space="preserve">Constraints</w:t>
      </w:r>
    </w:p>
    <w:p>
      <w:pPr>
        <w:pStyle w:val="ListParagraph"/>
        <w:numPr>
          <w:ilvl w:val="0"/>
          <w:numId w:val="2"/>
        </w:numPr>
        <w:spacing w:after="60"/>
      </w:pPr>
      <w:r>
        <w:rPr>
          <w:rFonts w:ascii="Arial" w:cs="Arial" w:eastAsia="Arial" w:hAnsi="Arial"/>
          <w:sz w:val="22"/>
          <w:szCs w:val="22"/>
        </w:rPr>
        <w:t xml:space="preserve">Payment data must be stored and processed only in India.</w:t>
      </w:r>
    </w:p>
    <w:p>
      <w:pPr>
        <w:pStyle w:val="ListParagraph"/>
        <w:numPr>
          <w:ilvl w:val="0"/>
          <w:numId w:val="2"/>
        </w:numPr>
        <w:spacing w:after="60"/>
      </w:pPr>
      <w:r>
        <w:rPr>
          <w:rFonts w:ascii="Arial" w:cs="Arial" w:eastAsia="Arial" w:hAnsi="Arial"/>
          <w:sz w:val="22"/>
          <w:szCs w:val="22"/>
        </w:rPr>
        <w:t xml:space="preserve">A decision is needed within 2 weeks.</w:t>
      </w:r>
    </w:p>
    <w:p>
      <w:pPr>
        <w:pStyle w:val="ListParagraph"/>
        <w:numPr>
          <w:ilvl w:val="0"/>
          <w:numId w:val="2"/>
        </w:numPr>
        <w:spacing w:after="60"/>
      </w:pPr>
      <w:r>
        <w:rPr>
          <w:rFonts w:ascii="Arial" w:cs="Arial" w:eastAsia="Arial" w:hAnsi="Arial"/>
          <w:sz w:val="22"/>
          <w:szCs w:val="22"/>
        </w:rPr>
        <w:t xml:space="preserve">No more than one gateway migration this financial year.</w:t>
      </w:r>
    </w:p>
    <w:p>
      <w:pPr>
        <w:pStyle w:val="ListParagraph"/>
        <w:numPr>
          <w:ilvl w:val="0"/>
          <w:numId w:val="2"/>
        </w:numPr>
        <w:spacing w:after="60"/>
      </w:pPr>
      <w:r>
        <w:rPr>
          <w:rFonts w:ascii="Arial" w:cs="Arial" w:eastAsia="Arial" w:hAnsi="Arial"/>
          <w:sz w:val="22"/>
          <w:szCs w:val="22"/>
        </w:rPr>
        <w:t xml:space="preserve">Overall payment success rate must not fall.</w:t>
      </w:r>
    </w:p>
    <w:p>
      <w:pPr>
        <w:pStyle w:val="Heading2"/>
        <w:spacing w:after="100" w:before="220"/>
      </w:pPr>
      <w:r>
        <w:rPr>
          <w:rFonts w:ascii="Arial" w:cs="Arial" w:eastAsia="Arial" w:hAnsi="Arial"/>
          <w:b/>
          <w:bCs/>
          <w:color w:val="8A2E38"/>
          <w:sz w:val="26"/>
          <w:szCs w:val="26"/>
        </w:rPr>
        <w:t xml:space="preserve">Decision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500"/>
        <w:gridCol w:w="4526"/>
      </w:tblGrid>
      <w:tr>
        <w:tc>
          <w:tcPr>
            <w:tcW w:type="dxa" w:w="2100"/>
            <w:tcBorders>
              <w:top w:val="single" w:color="CCCCCC" w:sz="4"/>
              <w:left w:val="single" w:color="CCCCCC" w:sz="4"/>
              <w:bottom w:val="single" w:color="CCCCCC" w:sz="4"/>
              <w:right w:val="single" w:color="CCCCCC" w:sz="4"/>
            </w:tcBorders>
            <w:shd w:fill="1F2A3A" w:color="auto" w:val="clear"/>
            <w:tcMar>
              <w:top w:type="dxa" w:w="80"/>
              <w:left w:type="dxa" w:w="120"/>
              <w:bottom w:type="dxa" w:w="80"/>
              <w:right w:type="dxa" w:w="120"/>
            </w:tcMar>
          </w:tcPr>
          <w:p>
            <w:r>
              <w:rPr>
                <w:rFonts w:ascii="Arial" w:cs="Arial" w:eastAsia="Arial" w:hAnsi="Arial"/>
                <w:b/>
                <w:bCs/>
                <w:color w:val="FFFFFF"/>
                <w:sz w:val="21"/>
                <w:szCs w:val="21"/>
              </w:rPr>
              <w:t xml:space="preserve">Criterion</w:t>
            </w:r>
          </w:p>
        </w:tc>
        <w:tc>
          <w:tcPr>
            <w:tcW w:type="dxa" w:w="900"/>
            <w:tcBorders>
              <w:top w:val="single" w:color="CCCCCC" w:sz="4"/>
              <w:left w:val="single" w:color="CCCCCC" w:sz="4"/>
              <w:bottom w:val="single" w:color="CCCCCC" w:sz="4"/>
              <w:right w:val="single" w:color="CCCCCC" w:sz="4"/>
            </w:tcBorders>
            <w:shd w:fill="1F2A3A" w:color="auto" w:val="clear"/>
            <w:tcMar>
              <w:top w:type="dxa" w:w="80"/>
              <w:left w:type="dxa" w:w="120"/>
              <w:bottom w:type="dxa" w:w="80"/>
              <w:right w:type="dxa" w:w="120"/>
            </w:tcMar>
          </w:tcPr>
          <w:p>
            <w:r>
              <w:rPr>
                <w:rFonts w:ascii="Arial" w:cs="Arial" w:eastAsia="Arial" w:hAnsi="Arial"/>
                <w:b/>
                <w:bCs/>
                <w:color w:val="FFFFFF"/>
                <w:sz w:val="21"/>
                <w:szCs w:val="21"/>
              </w:rPr>
              <w:t xml:space="preserve">Weight</w:t>
            </w:r>
          </w:p>
        </w:tc>
        <w:tc>
          <w:tcPr>
            <w:tcW w:type="dxa" w:w="1500"/>
            <w:tcBorders>
              <w:top w:val="single" w:color="CCCCCC" w:sz="4"/>
              <w:left w:val="single" w:color="CCCCCC" w:sz="4"/>
              <w:bottom w:val="single" w:color="CCCCCC" w:sz="4"/>
              <w:right w:val="single" w:color="CCCCCC" w:sz="4"/>
            </w:tcBorders>
            <w:shd w:fill="1F2A3A" w:color="auto" w:val="clear"/>
            <w:tcMar>
              <w:top w:type="dxa" w:w="80"/>
              <w:left w:type="dxa" w:w="120"/>
              <w:bottom w:type="dxa" w:w="80"/>
              <w:right w:type="dxa" w:w="120"/>
            </w:tcMar>
          </w:tcPr>
          <w:p>
            <w:r>
              <w:rPr>
                <w:rFonts w:ascii="Arial" w:cs="Arial" w:eastAsia="Arial" w:hAnsi="Arial"/>
                <w:b/>
                <w:bCs/>
                <w:color w:val="FFFFFF"/>
                <w:sz w:val="21"/>
                <w:szCs w:val="21"/>
              </w:rPr>
              <w:t xml:space="preserve">Scored by</w:t>
            </w:r>
          </w:p>
        </w:tc>
        <w:tc>
          <w:tcPr>
            <w:tcW w:type="dxa" w:w="4526"/>
            <w:tcBorders>
              <w:top w:val="single" w:color="CCCCCC" w:sz="4"/>
              <w:left w:val="single" w:color="CCCCCC" w:sz="4"/>
              <w:bottom w:val="single" w:color="CCCCCC" w:sz="4"/>
              <w:right w:val="single" w:color="CCCCCC" w:sz="4"/>
            </w:tcBorders>
            <w:shd w:fill="1F2A3A" w:color="auto" w:val="clear"/>
            <w:tcMar>
              <w:top w:type="dxa" w:w="80"/>
              <w:left w:type="dxa" w:w="120"/>
              <w:bottom w:type="dxa" w:w="80"/>
              <w:right w:type="dxa" w:w="120"/>
            </w:tcMar>
          </w:tcPr>
          <w:p>
            <w:r>
              <w:rPr>
                <w:rFonts w:ascii="Arial" w:cs="Arial" w:eastAsia="Arial" w:hAnsi="Arial"/>
                <w:b/>
                <w:bCs/>
                <w:color w:val="FFFFFF"/>
                <w:sz w:val="21"/>
                <w:szCs w:val="21"/>
              </w:rPr>
              <w:t xml:space="preserve">What good looks like</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Cost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Finance</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Lower total cost after any fixes needed</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Security &amp; compliance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InfoSec, Legal</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Meets every data, security and regulatory rule. A blocking finding overrides the score</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Reliability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20%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Ops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No drop in payment success rate or uptime</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Growth</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20%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Business</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Unlocks new merchants and products; meets the vendor-concentration OKR</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Customer impact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10%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Customer</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Fewer complaints, faster settlements and refunds, lower churn</w:t>
            </w:r>
          </w:p>
        </w:tc>
      </w:tr>
    </w:tbl>
    <w:p>
      <w:pPr>
        <w:pStyle w:val="Heading2"/>
        <w:spacing w:after="100" w:before="220"/>
      </w:pPr>
      <w:r>
        <w:rPr>
          <w:rFonts w:ascii="Arial" w:cs="Arial" w:eastAsia="Arial" w:hAnsi="Arial"/>
          <w:b/>
          <w:bCs/>
          <w:color w:val="8A2E38"/>
          <w:sz w:val="26"/>
          <w:szCs w:val="26"/>
        </w:rPr>
        <w:t xml:space="preserve">How Colosseum will decide</w:t>
      </w:r>
    </w:p>
    <w:p>
      <w:pPr>
        <w:spacing w:after="120"/>
      </w:pPr>
      <w:r>
        <w:rPr>
          <w:rFonts w:ascii="Arial" w:cs="Arial" w:eastAsia="Arial" w:hAnsi="Arial"/>
          <w:sz w:val="22"/>
          <w:szCs w:val="22"/>
        </w:rPr>
        <w:t xml:space="preserve">The agentic harness routes this brief to the advisers who can contribute. Each adviser receives an evidence pack from Legion's fact store, can search company documents and data, and must cite evidence for every claim. The moderator strikes unsupported claims; InfoSec can raise a blocking finding that only the decision owner can override, with a written risk acceptance. Code computes the weighted scorecard, the Scribe writes the memo, and the moderator checks the memo before it reaches you.</w:t>
      </w:r>
    </w:p>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2026-10-06T15:56:33.221Z</dcterms:created>
  <dcterms:modified xsi:type="dcterms:W3CDTF">2026-10-06T15:56:33.233Z</dcterms:modified>
</cp:coreProperties>
</file>

<file path=docProps/custom.xml><?xml version="1.0" encoding="utf-8"?>
<Properties xmlns="http://schemas.openxmlformats.org/officeDocument/2006/custom-properties" xmlns:vt="http://schemas.openxmlformats.org/officeDocument/2006/docPropsVTypes"/>
</file>