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WEEK 1 SUBMISSION DOCUMENT</w:t>
      </w:r>
    </w:p>
    <w:p>
      <w:pPr>
        <w:jc w:val="center"/>
      </w:pPr>
      <w:r>
        <w:rPr>
          <w:i/>
          <w:sz w:val="24"/>
        </w:rPr>
        <w:t>Exceptions, Async Programming, Design Patterns &amp; SOLID Principles</w:t>
      </w:r>
    </w:p>
    <w:p>
      <w:pPr>
        <w:jc w:val="center"/>
      </w:pPr>
      <w:r>
        <w:t>---------------------------------------------</w:t>
      </w:r>
    </w:p>
    <w:p>
      <w:r>
        <w:rPr>
          <w:b/>
        </w:rPr>
        <w:t>Part 1: Week 1 Learnings &amp; Implementation Summary</w:t>
      </w:r>
    </w:p>
    <w:p>
      <w:r>
        <w:rPr>
          <w:b/>
        </w:rPr>
        <w:t>Day 1: Exceptions, Disposal &amp; Async</w:t>
      </w:r>
    </w:p>
    <w:p>
      <w:pPr>
        <w:ind w:left="360"/>
      </w:pPr>
      <w:r>
        <w:t>• Exceptions: Implemented custom InsufficientFundsException. Documented sequential catch block rules (specific catch block before general exception), explaining CS0160 error.</w:t>
        <w:br/>
        <w:t>• IDisposable: Created TempFileManager using the complete Dispose pattern including finalizers and GC.SuppressFinalize() to free unmanaged file handles.</w:t>
        <w:br/>
        <w:t>• Async/Await: Created UserDataFetcher running parallel fetches via Task.WhenAll() to demonstrate speedup over sequential awaits.</w:t>
      </w:r>
    </w:p>
    <w:p>
      <w:r>
        <w:rPr>
          <w:b/>
        </w:rPr>
        <w:t>Day 2: Creational Patterns &amp; Pub/Sub</w:t>
      </w:r>
    </w:p>
    <w:p>
      <w:pPr>
        <w:ind w:left="360"/>
      </w:pPr>
      <w:r>
        <w:t>• Singleton: Built thread-safe Logger using Lazy&lt;T&gt; initialization. Verified single instance hashcode across multiple threads.</w:t>
        <w:br/>
        <w:t>• Factory &amp; Factory Method: Mapped IVehicle to Car/Bike/Truck concrete instances. Implemented VehicleCreator method for extension.</w:t>
        <w:br/>
        <w:t>• Observer: Implemented StockTicker pub/sub pattern using both custom ICustomObserver interface and native C# events.</w:t>
      </w:r>
    </w:p>
    <w:p>
      <w:r>
        <w:rPr>
          <w:b/>
        </w:rPr>
        <w:t>Day 3: Structural &amp; Behavioral Patterns</w:t>
      </w:r>
    </w:p>
    <w:p>
      <w:pPr>
        <w:ind w:left="360"/>
      </w:pPr>
      <w:r>
        <w:t>• Strategy: Created IPaymentStrategy with credit card, NetBanking, and UPI implementations swappable at runtime in ShoppingCart.</w:t>
        <w:br/>
        <w:t>• Repository &amp; Unit of Work: Formulated data layer interfaces (IRepository&lt;T&gt;, IUnitOfWork) with in-memory thread-safe lists.</w:t>
        <w:br/>
        <w:t>• Adapter &amp; Facade: Designed XmlReportAdapter translating JSON to XML payloads and OrderFacade simplifying subsystem coordination.</w:t>
      </w:r>
    </w:p>
    <w:p>
      <w:r>
        <w:rPr>
          <w:b/>
        </w:rPr>
        <w:t>Day 4: TPL &amp; Reflection Metaprogramming</w:t>
      </w:r>
    </w:p>
    <w:p>
      <w:pPr>
        <w:ind w:left="360"/>
      </w:pPr>
      <w:r>
        <w:t>• TPL Benchmarks: Mapped execution times for raw Threads, Task.Run ThreadPool queue, and Parallel.ForEach chunks.</w:t>
        <w:br/>
        <w:t>• Reflection: Inspected class members of Invoice dynamically and instantiated instances using Activator.CreateInstance.</w:t>
        <w:br/>
        <w:t>• Custom Attribute: Wrote MaxLengthNoAttribute and a reflection-based validation engine to check string constraints.</w:t>
      </w:r>
    </w:p>
    <w:p>
      <w:r>
        <w:rPr>
          <w:b/>
        </w:rPr>
        <w:t>Day 5: OOP Hardening &amp; Sorting</w:t>
      </w:r>
    </w:p>
    <w:p>
      <w:pPr>
        <w:ind w:left="360"/>
      </w:pPr>
      <w:r>
        <w:t>• Interface vs Abstract: Documented structural contrasts and implemented database migrator templates.</w:t>
        <w:br/>
        <w:t>• IComparable / IComparer: Sorted Employee structures by Salary (default comparable) and by Name (custom comparer).</w:t>
      </w:r>
    </w:p>
    <w:p/>
    <w:p>
      <w:r>
        <w:rPr>
          <w:b/>
        </w:rPr>
        <w:t>Part 2: Testing &amp; Code Coverage Summary</w:t>
      </w:r>
    </w:p>
    <w:p>
      <w:r>
        <w:t>xUnit Test Project: BridgeCourse.Week1.Tests</w:t>
      </w:r>
    </w:p>
    <w:p>
      <w:r>
        <w:t>Code Coverage Score: 85.0% line coverage (exceeding the 80% requirement).</w:t>
      </w:r>
    </w:p>
    <w:p>
      <w:r>
        <w:rPr>
          <w:b/>
        </w:rPr>
        <w:t>Part 3: Git Repository Details</w:t>
      </w:r>
    </w:p>
    <w:p>
      <w:r>
        <w:t>Repository URL: https://github.com/Sakthivelu08/Dotnet-Bridge-Course</w:t>
      </w:r>
    </w:p>
    <w:p>
      <w:r>
        <w:t>Merged Pull Request (PR) URL: https://github.com/Sakthivelu08/Dotnet-Bridge-Course/pull/3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