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overflowPunct/>
        <w:topLinePunct w:val="0"/>
        <w:autoSpaceDE/>
        <w:autoSpaceDN/>
        <w:bidi w:val="0"/>
        <w:adjustRightInd/>
        <w:snapToGrid w:val="0"/>
        <w:spacing w:line="560" w:lineRule="exact"/>
        <w:jc w:val="center"/>
        <w:textAlignment w:val="auto"/>
        <w:rPr>
          <w:rFonts w:ascii="宋体" w:hAnsi="宋体"/>
          <w:spacing w:val="0"/>
          <w:sz w:val="44"/>
          <w:szCs w:val="44"/>
        </w:rPr>
      </w:pPr>
      <w:bookmarkStart w:id="0" w:name="swjgmc"/>
      <w:bookmarkEnd w:id="0"/>
      <w:r>
        <w:rPr>
          <w:rFonts w:hint="eastAsia" w:ascii="宋体" w:hAnsi="宋体"/>
          <w:spacing w:val="0"/>
          <w:sz w:val="44"/>
          <w:szCs w:val="44"/>
        </w:rPr>
        <w:t>国家税务总局徐州市税务局稽查局</w:t>
      </w:r>
    </w:p>
    <w:p>
      <w:pPr>
        <w:keepNext w:val="0"/>
        <w:keepLines w:val="0"/>
        <w:pageBreakBefore w:val="0"/>
        <w:widowControl w:val="0"/>
        <w:kinsoku/>
        <w:overflowPunct/>
        <w:topLinePunct w:val="0"/>
        <w:autoSpaceDE/>
        <w:autoSpaceDN/>
        <w:bidi w:val="0"/>
        <w:adjustRightInd/>
        <w:snapToGrid w:val="0"/>
        <w:spacing w:line="560" w:lineRule="exact"/>
        <w:jc w:val="center"/>
        <w:textAlignment w:val="auto"/>
        <w:rPr>
          <w:rFonts w:ascii="宋体" w:hAnsi="宋体"/>
          <w:spacing w:val="0"/>
          <w:sz w:val="52"/>
          <w:szCs w:val="52"/>
        </w:rPr>
      </w:pPr>
      <w:r>
        <w:rPr>
          <w:rFonts w:hint="eastAsia" w:ascii="宋体" w:hAnsi="宋体"/>
          <w:spacing w:val="0"/>
          <w:sz w:val="52"/>
          <w:szCs w:val="52"/>
        </w:rPr>
        <w:t>税务行政处罚决定书</w:t>
      </w:r>
    </w:p>
    <w:p>
      <w:pPr>
        <w:keepNext w:val="0"/>
        <w:keepLines w:val="0"/>
        <w:pageBreakBefore w:val="0"/>
        <w:widowControl w:val="0"/>
        <w:kinsoku/>
        <w:wordWrap/>
        <w:overflowPunct/>
        <w:topLinePunct w:val="0"/>
        <w:autoSpaceDE/>
        <w:autoSpaceDN/>
        <w:bidi w:val="0"/>
        <w:adjustRightInd/>
        <w:snapToGrid/>
        <w:spacing w:afterAutospacing="0" w:line="560" w:lineRule="exact"/>
        <w:jc w:val="center"/>
        <w:textAlignment w:val="auto"/>
        <w:outlineLvl w:val="0"/>
        <w:rPr>
          <w:rFonts w:ascii="仿宋_GB2312" w:hAnsi="宋体" w:eastAsia="仿宋_GB2312"/>
          <w:spacing w:val="0"/>
          <w:sz w:val="32"/>
          <w:szCs w:val="30"/>
        </w:rPr>
      </w:pPr>
      <w:r>
        <w:rPr>
          <w:rFonts w:hint="eastAsia" w:ascii="仿宋_GB2312" w:hAnsi="宋体" w:eastAsia="仿宋_GB2312"/>
          <w:spacing w:val="0"/>
          <w:sz w:val="32"/>
          <w:szCs w:val="30"/>
        </w:rPr>
        <w:t>徐税稽罚〔2025〕63号</w:t>
      </w:r>
    </w:p>
    <w:p>
      <w:pPr>
        <w:keepNext w:val="0"/>
        <w:keepLines w:val="0"/>
        <w:pageBreakBefore w:val="0"/>
        <w:widowControl w:val="0"/>
        <w:kinsoku/>
        <w:wordWrap/>
        <w:overflowPunct/>
        <w:topLinePunct w:val="0"/>
        <w:autoSpaceDE/>
        <w:autoSpaceDN/>
        <w:bidi w:val="0"/>
        <w:adjustRightInd/>
        <w:snapToGrid/>
        <w:spacing w:afterAutospacing="0" w:line="550" w:lineRule="exact"/>
        <w:jc w:val="left"/>
        <w:textAlignment w:val="auto"/>
        <w:rPr>
          <w:rFonts w:hint="eastAsia" w:ascii="仿宋_GB2312" w:hAnsi="宋体" w:eastAsia="仿宋_GB2312"/>
          <w:color w:val="000000"/>
          <w:spacing w:val="0"/>
          <w:sz w:val="32"/>
          <w:szCs w:val="30"/>
        </w:rPr>
      </w:pPr>
      <w:bookmarkStart w:id="1" w:name="nsrmc"/>
      <w:bookmarkEnd w:id="1"/>
      <w:r>
        <w:rPr>
          <w:rFonts w:hint="eastAsia" w:ascii="仿宋_GB2312" w:hAnsi="宋体" w:eastAsia="仿宋_GB2312"/>
          <w:color w:val="000000"/>
          <w:spacing w:val="-11"/>
          <w:sz w:val="32"/>
          <w:szCs w:val="30"/>
        </w:rPr>
        <w:t>徐州市乐居商贸有限公司：（纳税人识别号：</w:t>
      </w:r>
      <w:bookmarkStart w:id="2" w:name="nsrsbh"/>
      <w:bookmarkEnd w:id="2"/>
      <w:r>
        <w:rPr>
          <w:rFonts w:hint="eastAsia" w:ascii="仿宋_GB2312" w:hAnsi="宋体" w:eastAsia="仿宋_GB2312"/>
          <w:color w:val="000000"/>
          <w:spacing w:val="-11"/>
          <w:sz w:val="32"/>
          <w:szCs w:val="30"/>
        </w:rPr>
        <w:t>91320382576668185R）</w:t>
      </w:r>
    </w:p>
    <w:p>
      <w:pPr>
        <w:keepNext w:val="0"/>
        <w:keepLines w:val="0"/>
        <w:pageBreakBefore w:val="0"/>
        <w:widowControl w:val="0"/>
        <w:kinsoku/>
        <w:wordWrap/>
        <w:overflowPunct/>
        <w:topLinePunct w:val="0"/>
        <w:autoSpaceDE/>
        <w:autoSpaceDN/>
        <w:bidi w:val="0"/>
        <w:adjustRightInd/>
        <w:snapToGrid/>
        <w:spacing w:line="550" w:lineRule="exact"/>
        <w:ind w:firstLine="640" w:firstLineChars="200"/>
        <w:jc w:val="left"/>
        <w:textAlignment w:val="auto"/>
        <w:rPr>
          <w:rFonts w:ascii="仿宋_GB2312" w:hAnsi="宋体" w:eastAsia="仿宋_GB2312"/>
          <w:color w:val="000000"/>
          <w:spacing w:val="0"/>
          <w:sz w:val="32"/>
          <w:szCs w:val="30"/>
        </w:rPr>
      </w:pPr>
      <w:r>
        <w:rPr>
          <w:rFonts w:hint="eastAsia" w:ascii="仿宋_GB2312" w:hAnsi="宋体" w:eastAsia="仿宋_GB2312"/>
          <w:color w:val="000000"/>
          <w:spacing w:val="0"/>
          <w:sz w:val="32"/>
          <w:szCs w:val="30"/>
        </w:rPr>
        <w:t>我局于2024年09月26日至2025年11月12日对</w:t>
      </w:r>
      <w:r>
        <w:rPr>
          <w:rFonts w:hint="eastAsia" w:ascii="仿宋_GB2312" w:hAnsi="宋体" w:eastAsia="仿宋_GB2312"/>
          <w:color w:val="000000"/>
          <w:spacing w:val="0"/>
          <w:sz w:val="32"/>
          <w:szCs w:val="30"/>
          <w:lang w:eastAsia="zh-CN"/>
        </w:rPr>
        <w:t>你单位</w:t>
      </w:r>
      <w:r>
        <w:rPr>
          <w:rFonts w:hint="eastAsia" w:ascii="仿宋_GB2312" w:hAnsi="宋体" w:eastAsia="仿宋_GB2312"/>
          <w:color w:val="000000"/>
          <w:spacing w:val="0"/>
          <w:sz w:val="32"/>
          <w:szCs w:val="30"/>
        </w:rPr>
        <w:t>（地址：邳州市东湖街道盛鑫商务中心楼1单元103铺）2020年01月01日至2023年12月31日</w:t>
      </w:r>
      <w:r>
        <w:rPr>
          <w:rFonts w:hint="eastAsia" w:ascii="仿宋_GB2312" w:hAnsi="宋体" w:eastAsia="仿宋_GB2312"/>
          <w:color w:val="000000"/>
          <w:spacing w:val="0"/>
          <w:sz w:val="32"/>
          <w:szCs w:val="30"/>
          <w:lang w:eastAsia="zh-CN"/>
        </w:rPr>
        <w:t>涉税</w:t>
      </w:r>
      <w:r>
        <w:rPr>
          <w:rFonts w:hint="eastAsia" w:ascii="仿宋_GB2312" w:hAnsi="宋体" w:eastAsia="仿宋_GB2312"/>
          <w:color w:val="000000"/>
          <w:spacing w:val="0"/>
          <w:sz w:val="32"/>
          <w:szCs w:val="30"/>
        </w:rPr>
        <w:t>情况进行检查，</w:t>
      </w:r>
      <w:r>
        <w:rPr>
          <w:rFonts w:hint="eastAsia" w:ascii="仿宋_GB2312" w:hAnsi="宋体" w:eastAsia="仿宋_GB2312"/>
          <w:color w:val="000000"/>
          <w:spacing w:val="0"/>
          <w:sz w:val="32"/>
          <w:szCs w:val="30"/>
          <w:lang w:eastAsia="zh-CN"/>
        </w:rPr>
        <w:t>你单位</w:t>
      </w:r>
      <w:r>
        <w:rPr>
          <w:rFonts w:hint="eastAsia" w:ascii="仿宋_GB2312" w:hAnsi="宋体" w:eastAsia="仿宋_GB2312"/>
          <w:color w:val="000000"/>
          <w:spacing w:val="0"/>
          <w:sz w:val="32"/>
          <w:szCs w:val="30"/>
        </w:rPr>
        <w:t>存在违法事实及处罚决定如下：</w:t>
      </w:r>
    </w:p>
    <w:p>
      <w:pPr>
        <w:keepNext w:val="0"/>
        <w:keepLines w:val="0"/>
        <w:pageBreakBefore w:val="0"/>
        <w:widowControl w:val="0"/>
        <w:kinsoku/>
        <w:wordWrap/>
        <w:overflowPunct/>
        <w:topLinePunct w:val="0"/>
        <w:autoSpaceDE/>
        <w:autoSpaceDN/>
        <w:bidi w:val="0"/>
        <w:adjustRightInd/>
        <w:snapToGrid/>
        <w:spacing w:line="550" w:lineRule="exact"/>
        <w:ind w:firstLine="736" w:firstLineChars="230"/>
        <w:textAlignment w:val="auto"/>
        <w:outlineLvl w:val="0"/>
        <w:rPr>
          <w:rFonts w:ascii="黑体" w:hAnsi="黑体" w:eastAsia="黑体"/>
          <w:b/>
          <w:spacing w:val="0"/>
          <w:sz w:val="32"/>
          <w:szCs w:val="30"/>
        </w:rPr>
      </w:pPr>
      <w:r>
        <w:rPr>
          <w:rFonts w:hint="eastAsia" w:ascii="黑体" w:hAnsi="黑体" w:eastAsia="黑体"/>
          <w:color w:val="000000"/>
          <w:spacing w:val="0"/>
          <w:sz w:val="32"/>
          <w:szCs w:val="30"/>
        </w:rPr>
        <w:t>一</w:t>
      </w:r>
      <w:r>
        <w:rPr>
          <w:rFonts w:hint="eastAsia" w:ascii="黑体" w:hAnsi="黑体" w:eastAsia="黑体"/>
          <w:spacing w:val="0"/>
          <w:sz w:val="32"/>
          <w:szCs w:val="30"/>
        </w:rPr>
        <w:t>、违法事实</w:t>
      </w:r>
    </w:p>
    <w:p>
      <w:pPr>
        <w:keepNext w:val="0"/>
        <w:keepLines w:val="0"/>
        <w:pageBreakBefore w:val="0"/>
        <w:widowControl w:val="0"/>
        <w:kinsoku/>
        <w:wordWrap/>
        <w:overflowPunct/>
        <w:topLinePunct w:val="0"/>
        <w:autoSpaceDE/>
        <w:autoSpaceDN/>
        <w:bidi w:val="0"/>
        <w:adjustRightInd/>
        <w:snapToGrid/>
        <w:spacing w:line="550" w:lineRule="exact"/>
        <w:ind w:firstLine="616" w:firstLineChars="200"/>
        <w:textAlignment w:val="auto"/>
        <w:rPr>
          <w:rFonts w:ascii="仿宋_GB2312" w:hAnsi="仿宋" w:eastAsia="仿宋_GB2312"/>
          <w:spacing w:val="0"/>
          <w:sz w:val="32"/>
          <w:szCs w:val="32"/>
        </w:rPr>
      </w:pPr>
      <w:r>
        <w:rPr>
          <w:rFonts w:hint="eastAsia" w:ascii="仿宋_GB2312" w:hAnsi="仿宋" w:eastAsia="仿宋_GB2312"/>
          <w:spacing w:val="-6"/>
          <w:sz w:val="32"/>
          <w:szCs w:val="32"/>
          <w:lang w:eastAsia="zh-CN"/>
        </w:rPr>
        <w:t>你单位</w:t>
      </w:r>
      <w:r>
        <w:rPr>
          <w:rFonts w:hint="eastAsia" w:ascii="仿宋_GB2312" w:hAnsi="仿宋" w:eastAsia="仿宋_GB2312"/>
          <w:spacing w:val="-6"/>
          <w:sz w:val="32"/>
          <w:szCs w:val="32"/>
        </w:rPr>
        <w:t>在检查所属期内使用银行公户收取营业款，未如实向税务机关申报收入，其中交通银行1666301.47元、张家港农商行14421419.76元、邮政储蓄银行邳州支行60150.64元、邮政储蓄银行新苏支行50886005.96元、浦发银行95275792.87元、江苏银行9513901.36元，合计171823572.06元。</w:t>
      </w:r>
    </w:p>
    <w:p>
      <w:pPr>
        <w:keepNext w:val="0"/>
        <w:keepLines w:val="0"/>
        <w:pageBreakBefore w:val="0"/>
        <w:widowControl w:val="0"/>
        <w:kinsoku/>
        <w:wordWrap/>
        <w:overflowPunct/>
        <w:topLinePunct w:val="0"/>
        <w:autoSpaceDE/>
        <w:autoSpaceDN/>
        <w:bidi w:val="0"/>
        <w:adjustRightInd/>
        <w:snapToGrid/>
        <w:spacing w:line="55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（一）增值税</w:t>
      </w:r>
    </w:p>
    <w:p>
      <w:pPr>
        <w:keepNext w:val="0"/>
        <w:keepLines w:val="0"/>
        <w:pageBreakBefore w:val="0"/>
        <w:widowControl w:val="0"/>
        <w:kinsoku/>
        <w:wordWrap/>
        <w:overflowPunct/>
        <w:topLinePunct w:val="0"/>
        <w:autoSpaceDE/>
        <w:autoSpaceDN/>
        <w:bidi w:val="0"/>
        <w:adjustRightInd/>
        <w:snapToGrid/>
        <w:spacing w:line="55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你单位2020年少计收入48893898.07元（不含税），经审核计算，2020年1季度应补缴增值税330085.94元，2季度应补缴增值税121142.51元，3季度应补缴增值税127184.72元，4季度应补缴增值税104601.59元，合计2020年应补缴增值税683014.76元。</w:t>
      </w:r>
    </w:p>
    <w:p>
      <w:pPr>
        <w:keepNext w:val="0"/>
        <w:keepLines w:val="0"/>
        <w:pageBreakBefore w:val="0"/>
        <w:widowControl w:val="0"/>
        <w:kinsoku/>
        <w:wordWrap/>
        <w:overflowPunct/>
        <w:topLinePunct w:val="0"/>
        <w:autoSpaceDE/>
        <w:autoSpaceDN/>
        <w:bidi w:val="0"/>
        <w:adjustRightInd/>
        <w:snapToGrid/>
        <w:spacing w:line="55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你单位2021年少计收入40656771.73元（不含税），经审核计算，2021年1季度应补缴增值税101037.42元，2季度应补缴增值税97557.50元，3季度应补缴增值税107173.48元，4季度应补缴增值税100799.32元，合计2021年应补缴增值税406567.72元。</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你单位2022年少计收入11550002.29元（不含税），经审核计算，2022年1季度应补缴增值税115500.02元。</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你单位2023年少计收入33974135.26元（不含税），经审核计算，2023年1季度应补缴增值税100992.64元，2季度应补缴增值税95313.11元，3季度应补缴增值税132243.55元，4季度应补缴增值税11192.05元，合计2023年应补缴增值税339741.35元。</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以上合计应补缴增值税1544823.85元。</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（二）城市维护建设税</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你单位少缴的增值税税款应按规定申报缴纳城市维护建设税。你单位应按季度计算补缴2020、2021、2022、2023年城市维护建设税分别为47811.04元、28459.74元、8085元、23781.89元，合计应补缴城市维护建设税108137.67元。</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（三）企业所得税</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你单位未按规定设置账簿，且无法提供收入核算和成本核算的相关资料，依据《中华人民共和国税收征收管理法》第三十五条第一款第（二）项，对你单位2020-2023年度采用核定应税所得率核定征收企业所得税。</w:t>
      </w:r>
    </w:p>
    <w:p>
      <w:pPr>
        <w:keepNext w:val="0"/>
        <w:keepLines w:val="0"/>
        <w:pageBreakBefore w:val="0"/>
        <w:widowControl w:val="0"/>
        <w:kinsoku/>
        <w:wordWrap/>
        <w:overflowPunct/>
        <w:topLinePunct w:val="0"/>
        <w:autoSpaceDE/>
        <w:autoSpaceDN/>
        <w:bidi w:val="0"/>
        <w:adjustRightInd/>
        <w:snapToGrid/>
        <w:spacing w:line="510" w:lineRule="exact"/>
        <w:ind w:firstLine="708"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6"/>
          <w:sz w:val="32"/>
          <w:szCs w:val="32"/>
        </w:rPr>
        <w:t>2020年应税收入额48893898.07元，核定2020年度应纳税所得额为1955755.92元，应补缴企业所得税145575.59元；2021年应税收入额40656771.73元，核定2021年度应纳税所得额为1626270.87元，应补缴企业所得税87627.09元；2022年应税收入额46753943.15元，核定2022年度应纳税所得额为1870157.73元，应补缴企业所得税68507.89元；2023年应税收入额33974135.26元，核定2023年度应纳税所得额为1358965.41元，应补缴企业所得税67948.27元。</w:t>
      </w:r>
    </w:p>
    <w:p>
      <w:pPr>
        <w:keepNext w:val="0"/>
        <w:keepLines w:val="0"/>
        <w:pageBreakBefore w:val="0"/>
        <w:widowControl w:val="0"/>
        <w:kinsoku/>
        <w:wordWrap/>
        <w:overflowPunct/>
        <w:topLinePunct w:val="0"/>
        <w:autoSpaceDE/>
        <w:autoSpaceDN/>
        <w:bidi w:val="0"/>
        <w:adjustRightInd/>
        <w:snapToGrid/>
        <w:spacing w:line="510" w:lineRule="exact"/>
        <w:ind w:firstLine="736" w:firstLineChars="230"/>
        <w:textAlignment w:val="auto"/>
        <w:outlineLvl w:val="0"/>
        <w:rPr>
          <w:rFonts w:hint="eastAsia" w:ascii="仿宋_GB2312" w:hAnsi="仿宋" w:eastAsia="仿宋_GB2312"/>
          <w:spacing w:val="0"/>
          <w:sz w:val="32"/>
          <w:szCs w:val="32"/>
        </w:rPr>
      </w:pPr>
      <w:r>
        <w:rPr>
          <w:rFonts w:hint="eastAsia" w:ascii="仿宋_GB2312" w:hAnsi="仿宋" w:eastAsia="仿宋_GB2312"/>
          <w:spacing w:val="0"/>
          <w:sz w:val="32"/>
          <w:szCs w:val="32"/>
        </w:rPr>
        <w:t>以上合计应补缴企业所得税369658.84元。</w:t>
      </w:r>
    </w:p>
    <w:p>
      <w:pPr>
        <w:keepNext w:val="0"/>
        <w:keepLines w:val="0"/>
        <w:pageBreakBefore w:val="0"/>
        <w:widowControl w:val="0"/>
        <w:kinsoku/>
        <w:overflowPunct/>
        <w:topLinePunct w:val="0"/>
        <w:autoSpaceDE/>
        <w:autoSpaceDN/>
        <w:bidi w:val="0"/>
        <w:adjustRightInd/>
        <w:spacing w:line="560" w:lineRule="exact"/>
        <w:ind w:firstLine="736" w:firstLineChars="230"/>
        <w:textAlignment w:val="auto"/>
        <w:outlineLvl w:val="0"/>
        <w:rPr>
          <w:rFonts w:ascii="黑体" w:hAnsi="黑体" w:eastAsia="黑体"/>
          <w:spacing w:val="0"/>
          <w:sz w:val="32"/>
          <w:szCs w:val="30"/>
        </w:rPr>
      </w:pPr>
      <w:r>
        <w:rPr>
          <w:rFonts w:hint="eastAsia" w:ascii="黑体" w:hAnsi="黑体" w:eastAsia="黑体"/>
          <w:spacing w:val="0"/>
          <w:sz w:val="32"/>
          <w:szCs w:val="30"/>
        </w:rPr>
        <w:t>二、处罚决定</w:t>
      </w:r>
    </w:p>
    <w:p>
      <w:pPr>
        <w:keepNext w:val="0"/>
        <w:keepLines w:val="0"/>
        <w:pageBreakBefore w:val="0"/>
        <w:widowControl w:val="0"/>
        <w:kinsoku/>
        <w:overflowPunct/>
        <w:topLinePunct w:val="0"/>
        <w:autoSpaceDE/>
        <w:autoSpaceDN/>
        <w:bidi w:val="0"/>
        <w:adjustRightInd/>
        <w:spacing w:line="560" w:lineRule="exact"/>
        <w:ind w:firstLine="640" w:firstLineChars="200"/>
        <w:jc w:val="left"/>
        <w:textAlignment w:val="auto"/>
        <w:rPr>
          <w:rFonts w:hint="eastAsia" w:ascii="仿宋_GB2312" w:hAnsi="宋体" w:eastAsia="仿宋_GB2312"/>
          <w:spacing w:val="0"/>
          <w:sz w:val="32"/>
          <w:szCs w:val="30"/>
        </w:rPr>
      </w:pPr>
      <w:r>
        <w:rPr>
          <w:rFonts w:hint="eastAsia" w:ascii="仿宋_GB2312" w:hAnsi="宋体" w:eastAsia="仿宋_GB2312"/>
          <w:spacing w:val="0"/>
          <w:sz w:val="32"/>
          <w:szCs w:val="30"/>
        </w:rPr>
        <w:t>根据《中华人民共和国税收征收管理法》第六十三条第一款</w:t>
      </w:r>
      <w:r>
        <w:rPr>
          <w:rFonts w:hint="eastAsia" w:ascii="仿宋_GB2312" w:hAnsi="宋体" w:eastAsia="仿宋_GB2312"/>
          <w:spacing w:val="0"/>
          <w:sz w:val="32"/>
          <w:szCs w:val="30"/>
          <w:lang w:eastAsia="zh-CN"/>
        </w:rPr>
        <w:t>、《国家税务总局关于发布&lt;税务行政处罚裁量权行使规则&gt;的公告》（国家税务总局公告2016年第78号）、《国家税务总局江苏省税务局关于发布&lt;江苏省税务行政处罚裁量权实施办法&gt;的公告》（国家税务总局江苏省税务局公告2018年第11号）第十六条及《国家税务总局上</w:t>
      </w:r>
      <w:bookmarkStart w:id="4" w:name="_GoBack"/>
      <w:bookmarkEnd w:id="4"/>
      <w:r>
        <w:rPr>
          <w:rFonts w:hint="eastAsia" w:ascii="仿宋_GB2312" w:hAnsi="宋体" w:eastAsia="仿宋_GB2312"/>
          <w:spacing w:val="0"/>
          <w:sz w:val="32"/>
          <w:szCs w:val="30"/>
          <w:lang w:eastAsia="zh-CN"/>
        </w:rPr>
        <w:t>海市税务局江苏省税务局浙江省税务局安徽省税务局宁波市税务局关于发布&lt;长江三角洲区域登记账证征收检查类税务违法行为行政处罚裁量基准&gt;的公告》（国家税务总局上海市税务局江苏省税务局浙江省税务局安徽省税务局宁波市税务局公告2022年第5号）之规定</w:t>
      </w:r>
      <w:r>
        <w:rPr>
          <w:rFonts w:hint="eastAsia" w:ascii="仿宋_GB2312" w:hAnsi="宋体" w:eastAsia="仿宋_GB2312"/>
          <w:spacing w:val="0"/>
          <w:sz w:val="32"/>
          <w:szCs w:val="30"/>
        </w:rPr>
        <w:t>，决定对你单位</w:t>
      </w:r>
      <w:r>
        <w:rPr>
          <w:rFonts w:hint="eastAsia" w:ascii="仿宋_GB2312" w:hAnsi="仿宋" w:eastAsia="仿宋_GB2312"/>
          <w:spacing w:val="0"/>
          <w:sz w:val="32"/>
          <w:szCs w:val="32"/>
        </w:rPr>
        <w:t>2020-2023年</w:t>
      </w:r>
      <w:r>
        <w:rPr>
          <w:rFonts w:hint="eastAsia" w:ascii="仿宋_GB2312" w:hAnsi="宋体" w:eastAsia="仿宋_GB2312"/>
          <w:spacing w:val="0"/>
          <w:sz w:val="32"/>
          <w:szCs w:val="30"/>
          <w:lang w:eastAsia="zh-CN"/>
        </w:rPr>
        <w:t>少缴的</w:t>
      </w:r>
      <w:r>
        <w:rPr>
          <w:rFonts w:hint="eastAsia" w:ascii="仿宋_GB2312" w:hAnsi="宋体" w:eastAsia="仿宋_GB2312"/>
          <w:spacing w:val="0"/>
          <w:sz w:val="32"/>
          <w:szCs w:val="30"/>
        </w:rPr>
        <w:t>增值税1544823.85元处</w:t>
      </w:r>
      <w:r>
        <w:rPr>
          <w:rFonts w:hint="eastAsia" w:ascii="仿宋_GB2312" w:hAnsi="宋体" w:eastAsia="仿宋_GB2312"/>
          <w:spacing w:val="0"/>
          <w:sz w:val="32"/>
          <w:szCs w:val="30"/>
          <w:lang w:eastAsia="zh-CN"/>
        </w:rPr>
        <w:t>少缴税款</w:t>
      </w:r>
      <w:r>
        <w:rPr>
          <w:rFonts w:hint="eastAsia" w:ascii="仿宋_GB2312" w:hAnsi="宋体" w:eastAsia="仿宋_GB2312"/>
          <w:spacing w:val="0"/>
          <w:sz w:val="32"/>
          <w:szCs w:val="30"/>
        </w:rPr>
        <w:t>50%的罚款</w:t>
      </w:r>
      <w:r>
        <w:rPr>
          <w:rFonts w:hint="eastAsia" w:ascii="仿宋_GB2312" w:hAnsi="宋体" w:eastAsia="仿宋_GB2312"/>
          <w:spacing w:val="0"/>
          <w:sz w:val="32"/>
          <w:szCs w:val="30"/>
          <w:lang w:eastAsia="zh-CN"/>
        </w:rPr>
        <w:t>合计</w:t>
      </w:r>
      <w:r>
        <w:rPr>
          <w:rFonts w:hint="eastAsia" w:ascii="仿宋_GB2312" w:hAnsi="宋体" w:eastAsia="仿宋_GB2312"/>
          <w:spacing w:val="0"/>
          <w:sz w:val="32"/>
          <w:szCs w:val="30"/>
        </w:rPr>
        <w:t>772411.95元</w:t>
      </w:r>
      <w:r>
        <w:rPr>
          <w:rFonts w:hint="eastAsia" w:ascii="仿宋_GB2312" w:hAnsi="宋体" w:eastAsia="仿宋_GB2312"/>
          <w:spacing w:val="0"/>
          <w:sz w:val="32"/>
          <w:szCs w:val="30"/>
          <w:lang w:eastAsia="zh-CN"/>
        </w:rPr>
        <w:t>，少缴的</w:t>
      </w:r>
      <w:r>
        <w:rPr>
          <w:rFonts w:hint="eastAsia" w:ascii="仿宋_GB2312" w:hAnsi="宋体" w:eastAsia="仿宋_GB2312"/>
          <w:spacing w:val="0"/>
          <w:sz w:val="32"/>
          <w:szCs w:val="30"/>
        </w:rPr>
        <w:t>城市维护建设税108137.67元处</w:t>
      </w:r>
      <w:r>
        <w:rPr>
          <w:rFonts w:hint="eastAsia" w:ascii="仿宋_GB2312" w:hAnsi="宋体" w:eastAsia="仿宋_GB2312"/>
          <w:spacing w:val="0"/>
          <w:sz w:val="32"/>
          <w:szCs w:val="30"/>
          <w:lang w:eastAsia="zh-CN"/>
        </w:rPr>
        <w:t>少缴税款</w:t>
      </w:r>
      <w:r>
        <w:rPr>
          <w:rFonts w:hint="eastAsia" w:ascii="仿宋_GB2312" w:hAnsi="宋体" w:eastAsia="仿宋_GB2312"/>
          <w:spacing w:val="0"/>
          <w:sz w:val="32"/>
          <w:szCs w:val="30"/>
        </w:rPr>
        <w:t>50%的罚款</w:t>
      </w:r>
      <w:r>
        <w:rPr>
          <w:rFonts w:hint="eastAsia" w:ascii="仿宋_GB2312" w:hAnsi="宋体" w:eastAsia="仿宋_GB2312"/>
          <w:spacing w:val="0"/>
          <w:sz w:val="32"/>
          <w:szCs w:val="30"/>
          <w:lang w:eastAsia="zh-CN"/>
        </w:rPr>
        <w:t>合计</w:t>
      </w:r>
      <w:r>
        <w:rPr>
          <w:rFonts w:hint="eastAsia" w:ascii="仿宋_GB2312" w:hAnsi="宋体" w:eastAsia="仿宋_GB2312"/>
          <w:spacing w:val="0"/>
          <w:sz w:val="32"/>
          <w:szCs w:val="30"/>
        </w:rPr>
        <w:t>54068.86元</w:t>
      </w:r>
      <w:r>
        <w:rPr>
          <w:rFonts w:hint="eastAsia" w:ascii="仿宋_GB2312" w:hAnsi="宋体" w:eastAsia="仿宋_GB2312"/>
          <w:spacing w:val="0"/>
          <w:sz w:val="32"/>
          <w:szCs w:val="30"/>
          <w:lang w:eastAsia="zh-CN"/>
        </w:rPr>
        <w:t>，少缴的</w:t>
      </w:r>
      <w:r>
        <w:rPr>
          <w:rFonts w:hint="eastAsia" w:ascii="仿宋_GB2312" w:hAnsi="宋体" w:eastAsia="仿宋_GB2312"/>
          <w:spacing w:val="0"/>
          <w:sz w:val="32"/>
          <w:szCs w:val="30"/>
        </w:rPr>
        <w:t>企业所得税369658.84元处</w:t>
      </w:r>
      <w:r>
        <w:rPr>
          <w:rFonts w:hint="eastAsia" w:ascii="仿宋_GB2312" w:hAnsi="宋体" w:eastAsia="仿宋_GB2312"/>
          <w:spacing w:val="0"/>
          <w:sz w:val="32"/>
          <w:szCs w:val="30"/>
          <w:lang w:eastAsia="zh-CN"/>
        </w:rPr>
        <w:t>少缴税款</w:t>
      </w:r>
      <w:r>
        <w:rPr>
          <w:rFonts w:hint="eastAsia" w:ascii="仿宋_GB2312" w:hAnsi="宋体" w:eastAsia="仿宋_GB2312"/>
          <w:spacing w:val="0"/>
          <w:sz w:val="32"/>
          <w:szCs w:val="30"/>
        </w:rPr>
        <w:t>50%的罚款</w:t>
      </w:r>
      <w:r>
        <w:rPr>
          <w:rFonts w:hint="eastAsia" w:ascii="仿宋_GB2312" w:hAnsi="宋体" w:eastAsia="仿宋_GB2312"/>
          <w:spacing w:val="0"/>
          <w:sz w:val="32"/>
          <w:szCs w:val="30"/>
          <w:lang w:eastAsia="zh-CN"/>
        </w:rPr>
        <w:t>合计</w:t>
      </w:r>
      <w:r>
        <w:rPr>
          <w:rFonts w:hint="eastAsia" w:ascii="仿宋_GB2312" w:hAnsi="宋体" w:eastAsia="仿宋_GB2312"/>
          <w:spacing w:val="0"/>
          <w:sz w:val="32"/>
          <w:szCs w:val="30"/>
        </w:rPr>
        <w:t>184829.44元。</w:t>
      </w:r>
    </w:p>
    <w:p>
      <w:pPr>
        <w:keepNext w:val="0"/>
        <w:keepLines w:val="0"/>
        <w:pageBreakBefore w:val="0"/>
        <w:widowControl w:val="0"/>
        <w:kinsoku/>
        <w:overflowPunct/>
        <w:topLinePunct w:val="0"/>
        <w:autoSpaceDE/>
        <w:autoSpaceDN/>
        <w:bidi w:val="0"/>
        <w:adjustRightInd/>
        <w:spacing w:line="560" w:lineRule="exact"/>
        <w:ind w:firstLine="640" w:firstLineChars="200"/>
        <w:jc w:val="left"/>
        <w:textAlignment w:val="auto"/>
        <w:rPr>
          <w:rFonts w:ascii="仿宋_GB2312" w:hAnsi="宋体" w:eastAsia="仿宋_GB2312"/>
          <w:spacing w:val="0"/>
          <w:sz w:val="32"/>
          <w:szCs w:val="30"/>
        </w:rPr>
      </w:pPr>
      <w:r>
        <w:rPr>
          <w:rFonts w:hint="eastAsia" w:ascii="仿宋_GB2312" w:hAnsi="宋体" w:eastAsia="仿宋_GB2312"/>
          <w:spacing w:val="0"/>
          <w:sz w:val="32"/>
          <w:szCs w:val="30"/>
        </w:rPr>
        <w:t>以上应缴款项共计1011310.25元。限</w:t>
      </w:r>
      <w:r>
        <w:rPr>
          <w:rFonts w:hint="eastAsia" w:ascii="仿宋_GB2312" w:hAnsi="宋体" w:eastAsia="仿宋_GB2312"/>
          <w:spacing w:val="0"/>
          <w:sz w:val="32"/>
          <w:szCs w:val="30"/>
          <w:lang w:eastAsia="zh-CN"/>
        </w:rPr>
        <w:t>你单位</w:t>
      </w:r>
      <w:r>
        <w:rPr>
          <w:rFonts w:hint="eastAsia" w:ascii="仿宋_GB2312" w:hAnsi="宋体" w:eastAsia="仿宋_GB2312"/>
          <w:spacing w:val="0"/>
          <w:sz w:val="32"/>
          <w:szCs w:val="30"/>
        </w:rPr>
        <w:t>自本决定书送达之日起15日内到国家税务总局邳州市税务局缴纳入库。到期不缴纳罚款，我局可依照</w:t>
      </w:r>
      <w:r>
        <w:rPr>
          <w:rFonts w:hint="eastAsia" w:ascii="仿宋_GB2312" w:eastAsia="仿宋_GB2312"/>
          <w:color w:val="000000"/>
          <w:spacing w:val="0"/>
          <w:sz w:val="32"/>
        </w:rPr>
        <w:t>《中华人民共和国行政处罚法》第七十二条第一款第（一）项规定</w:t>
      </w:r>
      <w:r>
        <w:rPr>
          <w:rFonts w:hint="eastAsia" w:ascii="仿宋_GB2312" w:hAnsi="宋体" w:eastAsia="仿宋_GB2312"/>
          <w:spacing w:val="0"/>
          <w:sz w:val="32"/>
          <w:szCs w:val="30"/>
        </w:rPr>
        <w:t>，每日按罚款数额的百分之三加处罚款。</w:t>
      </w:r>
    </w:p>
    <w:p>
      <w:pPr>
        <w:keepNext w:val="0"/>
        <w:keepLines w:val="0"/>
        <w:pageBreakBefore w:val="0"/>
        <w:widowControl w:val="0"/>
        <w:kinsoku/>
        <w:overflowPunct/>
        <w:topLinePunct w:val="0"/>
        <w:autoSpaceDE/>
        <w:autoSpaceDN/>
        <w:bidi w:val="0"/>
        <w:adjustRightInd/>
        <w:spacing w:line="560" w:lineRule="exact"/>
        <w:ind w:firstLine="640" w:firstLineChars="200"/>
        <w:jc w:val="left"/>
        <w:textAlignment w:val="auto"/>
        <w:rPr>
          <w:rFonts w:ascii="仿宋_GB2312" w:hAnsi="宋体" w:eastAsia="仿宋_GB2312"/>
          <w:spacing w:val="0"/>
          <w:sz w:val="32"/>
          <w:szCs w:val="30"/>
        </w:rPr>
      </w:pPr>
      <w:r>
        <w:rPr>
          <w:rFonts w:hint="eastAsia" w:ascii="仿宋_GB2312" w:hAnsi="宋体" w:eastAsia="仿宋_GB2312"/>
          <w:spacing w:val="0"/>
          <w:sz w:val="32"/>
          <w:szCs w:val="30"/>
        </w:rPr>
        <w:t>如对本决定不服，可以自收到本决定书之日起六十日内依法向国家税务总局徐州市税务局申请行政复议，或者自收到本决定书之日起六个月内依法向人民法院起诉。如对处罚决定逾期不申请复议也不向人民法院起诉、又不履行的，</w:t>
      </w:r>
      <w:r>
        <w:rPr>
          <w:rFonts w:hint="eastAsia" w:ascii="仿宋_GB2312" w:eastAsia="仿宋_GB2312"/>
          <w:color w:val="000000"/>
          <w:spacing w:val="0"/>
          <w:sz w:val="32"/>
        </w:rPr>
        <w:t>我局有权采取《中华人民共和国税收征收管理法》第四十条规定的强制执行措施</w:t>
      </w:r>
      <w:r>
        <w:rPr>
          <w:rFonts w:hint="eastAsia" w:ascii="仿宋_GB2312" w:hAnsi="宋体" w:eastAsia="仿宋_GB2312"/>
          <w:spacing w:val="0"/>
          <w:sz w:val="32"/>
          <w:szCs w:val="30"/>
        </w:rPr>
        <w:t>，或者申请人民法院强制执行。</w:t>
      </w:r>
    </w:p>
    <w:p>
      <w:pPr>
        <w:keepNext w:val="0"/>
        <w:keepLines w:val="0"/>
        <w:pageBreakBefore w:val="0"/>
        <w:widowControl w:val="0"/>
        <w:kinsoku/>
        <w:overflowPunct/>
        <w:topLinePunct w:val="0"/>
        <w:autoSpaceDE/>
        <w:autoSpaceDN/>
        <w:bidi w:val="0"/>
        <w:adjustRightInd/>
        <w:spacing w:line="560" w:lineRule="exact"/>
        <w:ind w:firstLine="640" w:firstLineChars="200"/>
        <w:jc w:val="left"/>
        <w:textAlignment w:val="auto"/>
        <w:rPr>
          <w:rFonts w:ascii="仿宋_GB2312" w:hAnsi="宋体" w:eastAsia="仿宋_GB2312"/>
          <w:spacing w:val="0"/>
          <w:sz w:val="32"/>
          <w:szCs w:val="30"/>
        </w:rPr>
      </w:pPr>
    </w:p>
    <w:p>
      <w:pPr>
        <w:keepNext w:val="0"/>
        <w:keepLines w:val="0"/>
        <w:pageBreakBefore w:val="0"/>
        <w:widowControl w:val="0"/>
        <w:kinsoku/>
        <w:overflowPunct/>
        <w:topLinePunct w:val="0"/>
        <w:autoSpaceDE/>
        <w:autoSpaceDN/>
        <w:bidi w:val="0"/>
        <w:adjustRightInd/>
        <w:spacing w:line="560" w:lineRule="exact"/>
        <w:jc w:val="left"/>
        <w:textAlignment w:val="auto"/>
        <w:rPr>
          <w:rFonts w:ascii="仿宋_GB2312" w:hAnsi="宋体" w:eastAsia="仿宋_GB2312"/>
          <w:spacing w:val="0"/>
          <w:sz w:val="32"/>
          <w:szCs w:val="30"/>
        </w:rPr>
      </w:pPr>
    </w:p>
    <w:p>
      <w:pPr>
        <w:keepNext w:val="0"/>
        <w:keepLines w:val="0"/>
        <w:pageBreakBefore w:val="0"/>
        <w:widowControl w:val="0"/>
        <w:kinsoku/>
        <w:overflowPunct/>
        <w:topLinePunct w:val="0"/>
        <w:autoSpaceDE/>
        <w:autoSpaceDN/>
        <w:bidi w:val="0"/>
        <w:adjustRightInd/>
        <w:spacing w:line="560" w:lineRule="exact"/>
        <w:ind w:firstLine="640" w:firstLineChars="200"/>
        <w:jc w:val="left"/>
        <w:textAlignment w:val="auto"/>
        <w:rPr>
          <w:rFonts w:ascii="仿宋_GB2312" w:hAnsi="宋体" w:eastAsia="仿宋_GB2312"/>
          <w:spacing w:val="0"/>
          <w:sz w:val="32"/>
          <w:szCs w:val="30"/>
        </w:rPr>
      </w:pP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ab/>
      </w:r>
      <w:r>
        <w:rPr>
          <w:rFonts w:hint="eastAsia" w:ascii="仿宋_GB2312" w:hAnsi="宋体" w:eastAsia="仿宋_GB2312"/>
          <w:spacing w:val="0"/>
          <w:sz w:val="32"/>
          <w:szCs w:val="30"/>
        </w:rPr>
        <w:t>税务机关（印章）</w:t>
      </w:r>
    </w:p>
    <w:p>
      <w:pPr>
        <w:keepNext w:val="0"/>
        <w:keepLines w:val="0"/>
        <w:pageBreakBefore w:val="0"/>
        <w:widowControl w:val="0"/>
        <w:kinsoku/>
        <w:wordWrap w:val="0"/>
        <w:overflowPunct/>
        <w:topLinePunct w:val="0"/>
        <w:autoSpaceDE/>
        <w:autoSpaceDN/>
        <w:bidi w:val="0"/>
        <w:adjustRightInd/>
        <w:spacing w:line="560" w:lineRule="exact"/>
        <w:ind w:right="840" w:rightChars="400"/>
        <w:jc w:val="right"/>
        <w:textAlignment w:val="auto"/>
        <w:rPr>
          <w:rFonts w:ascii="仿宋_GB2312" w:hAnsi="宋体" w:eastAsia="仿宋_GB2312"/>
          <w:spacing w:val="0"/>
          <w:sz w:val="32"/>
          <w:szCs w:val="30"/>
        </w:rPr>
      </w:pPr>
      <w:r>
        <w:rPr>
          <w:rFonts w:hint="eastAsia" w:ascii="仿宋_GB2312" w:hAnsi="宋体" w:eastAsia="仿宋_GB2312"/>
          <w:spacing w:val="0"/>
          <w:sz w:val="32"/>
          <w:szCs w:val="30"/>
        </w:rPr>
        <w:t xml:space="preserve">              </w:t>
      </w:r>
      <w:r>
        <w:rPr>
          <w:rFonts w:hint="eastAsia" w:ascii="仿宋_GB2312" w:hAnsi="宋体" w:eastAsia="仿宋_GB2312"/>
          <w:spacing w:val="0"/>
          <w:sz w:val="32"/>
          <w:szCs w:val="30"/>
        </w:rPr>
        <w:tab/>
      </w:r>
      <w:bookmarkStart w:id="3" w:name="wszzrq"/>
      <w:bookmarkEnd w:id="3"/>
      <w:r>
        <w:rPr>
          <w:rFonts w:hint="eastAsia" w:ascii="仿宋_GB2312" w:hAnsi="宋体" w:eastAsia="仿宋_GB2312"/>
          <w:spacing w:val="0"/>
          <w:sz w:val="32"/>
          <w:szCs w:val="30"/>
        </w:rPr>
        <w:t>二Ｏ二五年十二月十五日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9AE"/>
    <w:rsid w:val="002714A3"/>
    <w:rsid w:val="004233BC"/>
    <w:rsid w:val="00702DBC"/>
    <w:rsid w:val="00750A07"/>
    <w:rsid w:val="007B59AE"/>
    <w:rsid w:val="008467DC"/>
    <w:rsid w:val="00B05B97"/>
    <w:rsid w:val="00DA7775"/>
    <w:rsid w:val="00F517C2"/>
    <w:rsid w:val="7BDA0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微软公司</Company>
  <Pages>4</Pages>
  <Words>362</Words>
  <Characters>2070</Characters>
  <Lines>17</Lines>
  <Paragraphs>4</Paragraphs>
  <TotalTime>11</TotalTime>
  <ScaleCrop>false</ScaleCrop>
  <LinksUpToDate>false</LinksUpToDate>
  <CharactersWithSpaces>2428</CharactersWithSpaces>
  <Application>WPS Office_11.8.2.10158_F1E327BC-269C-435d-A152-05C5408002CA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2025-12-17T08:39:00Z</dcterms:created>
  <dc:creator>微软用户</dc:creator>
  <cp:lastModifiedBy>沈毅</cp:lastModifiedBy>
  <dcterms:modified xsi:type="dcterms:W3CDTF">2026-01-13T02:35:33Z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2052-11.8.2.10158</vt:lpwstr>
  </property>
</Properties>
</file>